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32B3" w14:textId="02970C0F" w:rsidR="00414C81" w:rsidRDefault="00414C81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اسکندریّة</w:t>
      </w:r>
    </w:p>
    <w:p w14:paraId="369AB96C" w14:textId="77B63B24" w:rsidR="00414C81" w:rsidRDefault="00414C81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عثمان پاشا مرتضی</w:t>
      </w:r>
    </w:p>
    <w:p w14:paraId="68C82725" w14:textId="77777777" w:rsidR="00414C81" w:rsidRDefault="00414C81">
      <w:pPr>
        <w:pStyle w:val="BWCNormal"/>
        <w:rPr>
          <w:rtl/>
          <w:lang w:bidi="ar-SA"/>
        </w:rPr>
      </w:pPr>
    </w:p>
    <w:p w14:paraId="61929825" w14:textId="2507CDEA" w:rsidR="00414C81" w:rsidRDefault="00414C81">
      <w:pPr>
        <w:pStyle w:val="BWCNormal"/>
        <w:rPr>
          <w:rtl/>
          <w:lang w:bidi="ar-SA"/>
        </w:rPr>
      </w:pPr>
      <w:r w:rsidRPr="00FC3F67">
        <w:rPr>
          <w:rFonts w:hint="eastAsia"/>
          <w:rtl/>
          <w:lang w:bidi="ar-SA"/>
        </w:rPr>
        <w:t>ا</w:t>
      </w:r>
      <w:r w:rsidRPr="00FC3F67">
        <w:rPr>
          <w:rFonts w:hint="cs"/>
          <w:rtl/>
          <w:lang w:bidi="ar-SA"/>
        </w:rPr>
        <w:t>یّ</w:t>
      </w:r>
      <w:r w:rsidRPr="00FC3F67">
        <w:rPr>
          <w:rFonts w:hint="eastAsia"/>
          <w:rtl/>
          <w:lang w:bidi="ar-SA"/>
        </w:rPr>
        <w:t>ها</w:t>
      </w:r>
      <w:r w:rsidRPr="00FC3F67">
        <w:rPr>
          <w:rtl/>
          <w:lang w:bidi="ar-SA"/>
        </w:rPr>
        <w:t xml:space="preserve"> الشّهم الجل</w:t>
      </w:r>
      <w:r w:rsidRPr="00FC3F67">
        <w:rPr>
          <w:rFonts w:hint="cs"/>
          <w:rtl/>
          <w:lang w:bidi="ar-SA"/>
        </w:rPr>
        <w:t>ی</w:t>
      </w:r>
      <w:r w:rsidRPr="00FC3F67">
        <w:rPr>
          <w:rFonts w:hint="eastAsia"/>
          <w:rtl/>
          <w:lang w:bidi="ar-SA"/>
        </w:rPr>
        <w:t>ل</w:t>
      </w:r>
      <w:r w:rsidRPr="00FC3F67">
        <w:rPr>
          <w:rtl/>
          <w:lang w:bidi="ar-SA"/>
        </w:rPr>
        <w:t xml:space="preserve"> الهمام حل</w:t>
      </w:r>
      <w:r w:rsidRPr="00FC3F67">
        <w:rPr>
          <w:rFonts w:hint="cs"/>
          <w:rtl/>
          <w:lang w:bidi="ar-SA"/>
        </w:rPr>
        <w:t>ی</w:t>
      </w:r>
      <w:r w:rsidRPr="00FC3F67">
        <w:rPr>
          <w:rFonts w:hint="eastAsia"/>
          <w:rtl/>
          <w:lang w:bidi="ar-SA"/>
        </w:rPr>
        <w:t>ف</w:t>
      </w:r>
      <w:r w:rsidRPr="00FC3F67">
        <w:rPr>
          <w:rtl/>
          <w:lang w:bidi="ar-SA"/>
        </w:rPr>
        <w:t xml:space="preserve"> الوفآء ادامک الله</w:t>
      </w:r>
      <w:r>
        <w:rPr>
          <w:rFonts w:hint="cs"/>
          <w:rtl/>
          <w:lang w:bidi="ar-SA"/>
        </w:rPr>
        <w:t xml:space="preserve"> قد مضت علینا شهور و اعوام بل دهور و احقاب و لم یطرق الآذان خبر من ذلک الودود الغیور و لم تقرّ الأعین بمطالعة کتابه المسطور فازدادت الأشواق بعدما فتحت الأبواب و امکنت المخابرة مع حبیبنا القدیم و اقول ﻻ زال یختلج فی القلوب تلک العواطف الجلیلة الّتی کانت فی زمن اللّقآء اسأل الله ان یعید علینا تلک الأیّام ایّاماً قضت بالسّرّآء و الرّاحة و الرّخآء و انّی لا انسی حسن الألفة الّتی کانت بیننا حینما کنت موجوداً بتلک الجهات و ﻻ زال انتظرت فرصة مغتنمة حتّی اخابر دولتکم لعلّی اتمکّن من بیان الحاسّیّات القلبیّة و اﻻنجذابات الوجدانیّة نحو معالیکم و انّی ادعو الله ان یؤیّدک فی جمیع الشّؤون حتّی ترقی اعلی مراقی الفلاح و النّجاح بعطآء غیر ممنون و انتظر ورود الجواب فی کلّ ساعة بعد هذا الخطاب و الأمر لکم</w:t>
      </w:r>
    </w:p>
    <w:p w14:paraId="4FE3BE40" w14:textId="77777777" w:rsidR="00414C81" w:rsidRDefault="00414C81">
      <w:pPr>
        <w:pStyle w:val="BWCNormal"/>
        <w:rPr>
          <w:rtl/>
          <w:lang w:bidi="ar-SA"/>
        </w:rPr>
      </w:pPr>
    </w:p>
    <w:p w14:paraId="6F066BEC" w14:textId="377361E6" w:rsidR="00414C81" w:rsidRDefault="00414C81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حیفا</w:t>
      </w:r>
    </w:p>
    <w:p w14:paraId="6467324C" w14:textId="77777777" w:rsidR="00414C81" w:rsidRDefault="00414C81">
      <w:pPr>
        <w:pStyle w:val="BWCNormal"/>
        <w:rPr>
          <w:rtl/>
          <w:lang w:bidi="ar-SA"/>
        </w:rPr>
      </w:pPr>
    </w:p>
    <w:p w14:paraId="6601674C" w14:textId="607F90DD" w:rsidR="00414C81" w:rsidRDefault="00414C81">
      <w:pPr>
        <w:pStyle w:val="BWCNormal"/>
        <w:rPr>
          <w:lang w:bidi="ar-SA"/>
        </w:rPr>
      </w:pPr>
      <w:r>
        <w:rPr>
          <w:rFonts w:hint="cs"/>
          <w:rtl/>
          <w:lang w:bidi="ar-SA"/>
        </w:rPr>
        <w:t>٢ شوّال ١٣٣٧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414C81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6B21" w14:textId="77777777" w:rsidR="00F75D0F" w:rsidRDefault="00F75D0F">
      <w:r>
        <w:separator/>
      </w:r>
    </w:p>
  </w:endnote>
  <w:endnote w:type="continuationSeparator" w:id="0">
    <w:p w14:paraId="49D926EA" w14:textId="77777777" w:rsidR="00F75D0F" w:rsidRDefault="00F7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2086" w14:textId="77777777" w:rsidR="00F75D0F" w:rsidRDefault="00F75D0F">
      <w:r>
        <w:separator/>
      </w:r>
    </w:p>
  </w:footnote>
  <w:footnote w:type="continuationSeparator" w:id="0">
    <w:p w14:paraId="4126D681" w14:textId="77777777" w:rsidR="00F75D0F" w:rsidRDefault="00F7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1479494">
    <w:abstractNumId w:val="13"/>
  </w:num>
  <w:num w:numId="2" w16cid:durableId="1698193903">
    <w:abstractNumId w:val="6"/>
  </w:num>
  <w:num w:numId="3" w16cid:durableId="1264261492">
    <w:abstractNumId w:val="7"/>
  </w:num>
  <w:num w:numId="4" w16cid:durableId="531725968">
    <w:abstractNumId w:val="4"/>
  </w:num>
  <w:num w:numId="5" w16cid:durableId="798915237">
    <w:abstractNumId w:val="14"/>
  </w:num>
  <w:num w:numId="6" w16cid:durableId="1501121841">
    <w:abstractNumId w:val="0"/>
  </w:num>
  <w:num w:numId="7" w16cid:durableId="651835109">
    <w:abstractNumId w:val="1"/>
  </w:num>
  <w:num w:numId="8" w16cid:durableId="651718088">
    <w:abstractNumId w:val="8"/>
  </w:num>
  <w:num w:numId="9" w16cid:durableId="1412040109">
    <w:abstractNumId w:val="3"/>
  </w:num>
  <w:num w:numId="10" w16cid:durableId="1960184725">
    <w:abstractNumId w:val="11"/>
  </w:num>
  <w:num w:numId="11" w16cid:durableId="199361422">
    <w:abstractNumId w:val="9"/>
  </w:num>
  <w:num w:numId="12" w16cid:durableId="138764246">
    <w:abstractNumId w:val="9"/>
  </w:num>
  <w:num w:numId="13" w16cid:durableId="1623615309">
    <w:abstractNumId w:val="11"/>
  </w:num>
  <w:num w:numId="14" w16cid:durableId="1371612597">
    <w:abstractNumId w:val="12"/>
  </w:num>
  <w:num w:numId="15" w16cid:durableId="1417441744">
    <w:abstractNumId w:val="10"/>
  </w:num>
  <w:num w:numId="16" w16cid:durableId="2091997456">
    <w:abstractNumId w:val="10"/>
  </w:num>
  <w:num w:numId="17" w16cid:durableId="309679075">
    <w:abstractNumId w:val="2"/>
  </w:num>
  <w:num w:numId="18" w16cid:durableId="1664968266">
    <w:abstractNumId w:val="5"/>
  </w:num>
  <w:num w:numId="19" w16cid:durableId="2009672631">
    <w:abstractNumId w:val="2"/>
  </w:num>
  <w:num w:numId="20" w16cid:durableId="1208446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81"/>
    <w:rsid w:val="000868F5"/>
    <w:rsid w:val="00414C81"/>
    <w:rsid w:val="00446D99"/>
    <w:rsid w:val="005F51B4"/>
    <w:rsid w:val="00A06D16"/>
    <w:rsid w:val="00AC6A90"/>
    <w:rsid w:val="00E65BC9"/>
    <w:rsid w:val="00F75D0F"/>
    <w:rsid w:val="00F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7C5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basedOn w:val="DefaultParagraphFo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  <w:jc w:val="both"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446D99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2026-05-13T06:12:00Z</dcterms:created>
  <dcterms:modified xsi:type="dcterms:W3CDTF">2026-05-20T15:58:00Z</dcterms:modified>
</cp:coreProperties>
</file>