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50519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19 May 1995</w:t>
      </w:r>
    </w:p>
    <w:p>
      <w:pPr>
        <w:keepNext/>
      </w:pPr>
      <w:r/>
    </w:p>
    <w:p>
      <w:pPr>
        <w:keepNext/>
        <w:keepLines/>
      </w:pPr>
      <w:r/>
    </w:p>
    <w:p>
      <w:pPr>
        <w:ind w:firstLine="0"/>
        <w:jc w:val="left"/>
      </w:pPr>
      <w:r>
        <w:rPr/>
        <w:t xml:space="preserve">[To an individual]</w:t>
      </w:r>
    </w:p>
    <w:p>
      <w:pPr>
        <w:keepNext/>
      </w:pPr>
      <w:r/>
    </w:p>
    <w:p>
      <w:pPr>
        <w:ind w:firstLine="0"/>
        <w:jc w:val="left"/>
      </w:pPr>
      <w:r>
        <w:rPr/>
        <w:t xml:space="preserve">Dear Bahá’í Friend,</w:t>
      </w:r>
    </w:p>
    <w:p>
      <w:pPr>
        <w:keepNext/>
      </w:pPr>
      <w:r/>
    </w:p>
    <w:bookmarkStart w:id="50022" w:name="muhj19950519_001_en-p1"/>
    <w:p>
      <w:pPr>
        <w:ind w:firstLine="284"/>
        <w:jc w:val="left"/>
      </w:pPr>
      <w:r>
        <w:rPr/>
        <w:t xml:space="preserve">The Universal House of Justice has consulted on your email message of 4 April 1995 concerning the character of some of the postings on Bahá’í subjects in electronic discussion groups, and has asked us to convey to you the following.</w:t>
      </w:r>
    </w:p>
    <w:p>
      <w:pPr>
        <w:keepNext/>
      </w:pPr>
      <w:r/>
    </w:p>
    <w:bookmarkEnd w:id="50022"/>
    <w:bookmarkStart w:id="50025" w:name="muhj19950519_001_en-p2"/>
    <w:p>
      <w:pPr>
        <w:ind w:firstLine="284"/>
        <w:jc w:val="left"/>
      </w:pPr>
      <w:r>
        <w:rPr/>
        <w:t xml:space="preserve">Your concerns, in the context in which you have described them in the second paragraph of your message, are legitimate for a Bahá’í, and you should not hesitate to express them, as you wish, in a manner that is intended to illumine the exchange of ideas in any discussion in which you may participate.</w:t>
      </w:r>
    </w:p>
    <w:p>
      <w:pPr>
        <w:keepNext/>
      </w:pPr>
      <w:r/>
    </w:p>
    <w:bookmarkEnd w:id="50025"/>
    <w:bookmarkStart w:id="50028" w:name="muhj19950519_001_en-p3"/>
    <w:p>
      <w:pPr>
        <w:ind w:firstLine="284"/>
        <w:jc w:val="left"/>
      </w:pPr>
      <w:r>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marvelous swiftness and perfect regularity.”</w:t>
      </w:r>
    </w:p>
    <w:p>
      <w:pPr>
        <w:keepNext/>
      </w:pPr>
      <w:r/>
    </w:p>
    <w:bookmarkEnd w:id="50028"/>
    <w:bookmarkStart w:id="50031" w:name="muhj19950519_001_en-p4"/>
    <w:p>
      <w:pPr>
        <w:ind w:firstLine="284"/>
        <w:jc w:val="left"/>
      </w:pPr>
      <w:r>
        <w:rPr/>
        <w:t xml:space="preserve">As you well appreciate, the extent to which such technology advances the work of the Faith depends, of course, on the manner in which it is used. As a medium for Bahá’ís to exchange views, it imposes on participants the same requirements of moderation, candor, and courtesy as would be the case in any other discussion. Likewise, those involved should avoid belittling the views of one another. In this regard, the House of Justice has noted your understandable repugnance at an apparent temptation to use misleading and invidious labels like “traditionalists” and “liberals,” which divide the Bahá’í community. To the extent that this divisive habit of mind may persist in the Bahá’í community, it is obviously a carryover from non-Bahá’í society and a manifestation of an immature conception of life. If Bahá’ís were to persist in this mode of thinking, it would bring to naught even the most worthwhile intellectual endeavor, as has so conspicuously been the case with societies of the past.</w:t>
      </w:r>
    </w:p>
    <w:p>
      <w:pPr>
        <w:keepNext/>
      </w:pPr>
      <w:r/>
    </w:p>
    <w:bookmarkEnd w:id="50031"/>
    <w:bookmarkStart w:id="50034" w:name="muhj19950519_001_en-p5"/>
    <w:p>
      <w:pPr>
        <w:ind w:firstLine="284"/>
        <w:jc w:val="left"/>
      </w:pPr>
      <w:r>
        <w:rPr/>
        <w:t xml:space="preserve">Most important of all, as with any exploration by Bahá’ís of the beliefs and practices of their Faith, electronic discussion will serve the interests of the Cause and its members only as it is conducted within the framework of the Bahá’í Teachings and the truths they enshrine. To attempt to discuss the Cause of God apart from or with disdain for the authoritative guidance inherent in these Teachings would clearly be a logical contradiction. To take the first point mentioned in your letter, it is obvious that seeking to impose limits on the universality of the authority of God’s Manifestation would lead to the frustration of serious scholarly work and generate disharmony within an effort whose success depends precisely upon a spirit of unity and mutual trust. The standard is the one made clear by Bahá’u’lláh Himself:</w:t>
      </w:r>
    </w:p>
    <w:p>
      <w:pPr>
        <w:keepNext/>
      </w:pPr>
      <w:r/>
    </w:p>
    <w:bookmarkEnd w:id="50034"/>
    <w:bookmarkStart w:id="60037" w:name="muhj19950519_001_en-p6"/>
    <w:p>
      <w:pPr>
        <w:ind w:left="300"/>
        <w:ind w:firstLine="284"/>
        <w:jc w:val="left"/>
      </w:pPr>
      <w:r>
        <w:rPr/>
        <w:t xml:space="preserve">The essence of belief in Divine unity consisteth in regarding Him Who is the Manifestation of God and Him Who is the invisible, the inaccessible, the unknowable Essence as one and the same. By this is meant that whatsoever pertaineth to the former, all His acts and doings, whatever He ordaineth or forbiddeth, should be considered, in all their aspects, and under all circumstances, and without any reservation, as identical with the Will of God Himself.</w:t>
      </w:r>
    </w:p>
    <w:p>
      <w:pPr>
        <w:keepNext/>
      </w:pPr>
      <w:r/>
    </w:p>
    <w:bookmarkEnd w:id="60037"/>
    <w:bookmarkStart w:id="50041" w:name="muhj19950519_001_en-p7"/>
    <w:p>
      <w:pPr>
        <w:ind w:firstLine="284"/>
        <w:jc w:val="left"/>
      </w:pPr>
      <w:r>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endeavor, since it is they who have both the priceless insights of the Revelation and the advantages conferred by scientific investigation.</w:t>
      </w:r>
    </w:p>
    <w:p>
      <w:pPr>
        <w:keepNext/>
      </w:pPr>
      <w:r/>
    </w:p>
    <w:bookmarkEnd w:id="50041"/>
    <w:bookmarkStart w:id="50044" w:name="muhj19950519_001_en-p8"/>
    <w:p>
      <w:pPr>
        <w:ind w:firstLine="284"/>
        <w:jc w:val="left"/>
      </w:pPr>
      <w:r>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Bahá’ís will, without doubt, wish to assist the consultative processes by sharing and discussing relevant Bahá’í texts. This will itself have the further effect of drawing attention back to the framework of Bahá’í belief.</w:t>
      </w:r>
    </w:p>
    <w:p>
      <w:pPr>
        <w:keepNext/>
      </w:pPr>
      <w:r/>
    </w:p>
    <w:bookmarkEnd w:id="50044"/>
    <w:bookmarkStart w:id="50047" w:name="muhj19950519_001_en-p9"/>
    <w:p>
      <w:pPr>
        <w:ind w:firstLine="284"/>
        <w:jc w:val="left"/>
      </w:pPr>
      <w:r>
        <w:rPr/>
        <w:t xml:space="preserve">The House of Justice assures you of its prayers in the Holy Shrines on your behalf that the abundant confirmations of Bahá’u’lláh may ever sustain you.</w:t>
      </w:r>
    </w:p>
    <w:p>
      <w:pPr>
        <w:keepNext/>
      </w:pPr>
      <w:r/>
    </w:p>
    <w:bookmarkEnd w:id="50047"/>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