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D773" w14:textId="77777777" w:rsidR="003B64EA" w:rsidRPr="004F2F3D" w:rsidRDefault="003B64EA">
      <w:pPr>
        <w:pStyle w:val="BWCNormal"/>
        <w:rPr>
          <w:lang w:val="en-US"/>
        </w:rPr>
      </w:pPr>
    </w:p>
    <w:p w14:paraId="13302229" w14:textId="77777777" w:rsidR="003B64EA" w:rsidRPr="004F2F3D" w:rsidRDefault="003B64EA">
      <w:pPr>
        <w:pStyle w:val="BWCNormal"/>
      </w:pPr>
    </w:p>
    <w:p w14:paraId="389B2808" w14:textId="77777777" w:rsidR="003B64EA" w:rsidRPr="004F2F3D" w:rsidRDefault="003B64EA">
      <w:pPr>
        <w:pStyle w:val="BWCNormal"/>
      </w:pPr>
    </w:p>
    <w:p w14:paraId="335B8A08" w14:textId="77777777" w:rsidR="003B64EA" w:rsidRPr="004F2F3D" w:rsidRDefault="003B64EA">
      <w:pPr>
        <w:pStyle w:val="BWCNormal"/>
      </w:pPr>
    </w:p>
    <w:p w14:paraId="59CB278D" w14:textId="77777777" w:rsidR="003B64EA" w:rsidRPr="004F2F3D" w:rsidRDefault="006E7EEB" w:rsidP="00FB4F02">
      <w:pPr>
        <w:pStyle w:val="BWCDate"/>
        <w:jc w:val="center"/>
      </w:pPr>
      <w:r>
        <w:t>18 February 2008</w:t>
      </w:r>
    </w:p>
    <w:p w14:paraId="61B93379" w14:textId="77777777" w:rsidR="003B64EA" w:rsidRPr="004F2F3D" w:rsidRDefault="003B64EA">
      <w:pPr>
        <w:pStyle w:val="BWCNormal"/>
      </w:pPr>
    </w:p>
    <w:p w14:paraId="18F88E56" w14:textId="77777777" w:rsidR="00FB4F02" w:rsidRPr="004F2F3D" w:rsidRDefault="00FB4F02">
      <w:pPr>
        <w:pStyle w:val="BWCNormal"/>
      </w:pPr>
    </w:p>
    <w:p w14:paraId="127949DE" w14:textId="77777777" w:rsidR="003B64EA" w:rsidRPr="004F2F3D" w:rsidRDefault="003B64EA">
      <w:pPr>
        <w:pStyle w:val="BWCNormal"/>
      </w:pPr>
    </w:p>
    <w:p w14:paraId="52138E35" w14:textId="77777777" w:rsidR="003B64EA" w:rsidRPr="004F2F3D" w:rsidRDefault="003B64EA">
      <w:pPr>
        <w:pStyle w:val="BWCNormal"/>
      </w:pPr>
    </w:p>
    <w:p w14:paraId="534368CF" w14:textId="77777777" w:rsidR="003B64EA" w:rsidRPr="004F2F3D" w:rsidRDefault="00FF54B1" w:rsidP="00FF54B1">
      <w:pPr>
        <w:pStyle w:val="BWCEmailFax"/>
        <w:tabs>
          <w:tab w:val="clear" w:pos="2074"/>
        </w:tabs>
        <w:ind w:left="2160" w:hanging="2160"/>
      </w:pPr>
      <w:r w:rsidRPr="004F2F3D">
        <w:t>Transmitted by email</w:t>
      </w:r>
    </w:p>
    <w:p w14:paraId="5C18BA12" w14:textId="77777777" w:rsidR="003B64EA" w:rsidRPr="004F2F3D" w:rsidRDefault="005A4C1C">
      <w:pPr>
        <w:pStyle w:val="BWCAddress"/>
      </w:pPr>
      <w:r w:rsidRPr="004F2F3D">
        <w:t>The Friends in Iran</w:t>
      </w:r>
    </w:p>
    <w:p w14:paraId="3BA71B75" w14:textId="77777777" w:rsidR="003B64EA" w:rsidRPr="004F2F3D" w:rsidRDefault="009D40E4">
      <w:pPr>
        <w:pStyle w:val="BWCGreeting"/>
      </w:pPr>
      <w:r>
        <w:t>Dear Bahá’í Friends,</w:t>
      </w:r>
    </w:p>
    <w:p w14:paraId="14D525F5" w14:textId="77777777" w:rsidR="003631C5" w:rsidRPr="003041B3" w:rsidRDefault="003041B3" w:rsidP="00E35BDE">
      <w:pPr>
        <w:pStyle w:val="BWCBodyText"/>
      </w:pPr>
      <w:r w:rsidRPr="003041B3">
        <w:t>We have received a letter from a believer in Iran with questions about the Guardianship and the Universal House of Justice.  We appreciate that firmness in the Covenant is among the</w:t>
      </w:r>
      <w:r w:rsidR="00E35BDE">
        <w:t> </w:t>
      </w:r>
      <w:r w:rsidRPr="003041B3">
        <w:t>distinctive characteristics of the believers in that land, who are informed of the principles and essential facts pertaining to the succession of authority in the Cause.  Nevertheless, none among</w:t>
      </w:r>
      <w:r w:rsidR="00E35BDE">
        <w:t> </w:t>
      </w:r>
      <w:r w:rsidRPr="003041B3">
        <w:t>them should hesitate to seek clarification of matters about which they have questions, for the enemies of the Faith are tireless in their attempts to sow seeds of confusion and doubt.  Moreover, it is beneficial, in view of the beloved Master’s exhortations to us all to be ever-vigilant concerning matters of protection, for the friends to review the relevant essentials from time to time.  We have therefore decided to provide you with the following comments.  In this</w:t>
      </w:r>
      <w:r w:rsidR="00E35BDE">
        <w:t> </w:t>
      </w:r>
      <w:r w:rsidRPr="003041B3">
        <w:t>connection, you are also encouraged to reacquaint yourselves with the document “Mason Remey and Those Who Followed Him”, a statement prepared at our instruction by an ad hoc committee.  A translation of the statement is enclosed.</w:t>
      </w:r>
    </w:p>
    <w:p w14:paraId="501DE24C" w14:textId="77777777" w:rsidR="003631C5" w:rsidRPr="004F2F3D" w:rsidRDefault="003631C5" w:rsidP="003631C5">
      <w:pPr>
        <w:pStyle w:val="BWCBodyText"/>
      </w:pPr>
    </w:p>
    <w:p w14:paraId="257F6397" w14:textId="6062F56B" w:rsidR="003631C5" w:rsidRPr="004F2F3D" w:rsidRDefault="003041B3" w:rsidP="003631C5">
      <w:pPr>
        <w:pStyle w:val="BWCBodyText"/>
      </w:pPr>
      <w:r>
        <w:t>Q</w:t>
      </w:r>
      <w:r w:rsidR="003631C5" w:rsidRPr="004F2F3D">
        <w:t xml:space="preserve">uestions concerning the Guardianship and the Universal House of Justice can be resolved through careful study of the writings of Bahá’u’lláh, ‘Abdu’l-Bahá and Shoghi Effendi and the elucidations of the House of Justice, which, ‘Abdu’l-Bahá states, will “deliberate upon all problems which have caused difference, questions that are obscure and matters that are not </w:t>
      </w:r>
      <w:r w:rsidR="00126D4E">
        <w:t>expressly recorded in the Book.  Whatsoever they decide</w:t>
      </w:r>
      <w:r w:rsidR="00AD1606">
        <w:t>,</w:t>
      </w:r>
      <w:r w:rsidR="003631C5" w:rsidRPr="004F2F3D">
        <w:t>” He assures the friends, “has the same effect as the Text itself.”</w:t>
      </w:r>
    </w:p>
    <w:p w14:paraId="231C5380" w14:textId="77777777" w:rsidR="003631C5" w:rsidRPr="004F2F3D" w:rsidRDefault="003631C5" w:rsidP="003631C5">
      <w:pPr>
        <w:pStyle w:val="BWCBodyText"/>
      </w:pPr>
    </w:p>
    <w:p w14:paraId="10BC1F75" w14:textId="4F6DE1B0" w:rsidR="003631C5" w:rsidRPr="004F2F3D" w:rsidRDefault="003631C5" w:rsidP="008B62DE">
      <w:pPr>
        <w:pStyle w:val="BWCBodyText"/>
      </w:pPr>
      <w:r w:rsidRPr="004F2F3D">
        <w:t>Prior to the passing of ‘Abdu’l-Bahá in 1921, the provisions He had put in place</w:t>
      </w:r>
      <w:r w:rsidRPr="004F2F3D">
        <w:rPr>
          <w:b/>
          <w:bCs/>
        </w:rPr>
        <w:t xml:space="preserve"> </w:t>
      </w:r>
      <w:r w:rsidRPr="004F2F3D">
        <w:rPr>
          <w:bCs/>
        </w:rPr>
        <w:t>in His Will and Testament</w:t>
      </w:r>
      <w:r w:rsidRPr="004F2F3D">
        <w:t xml:space="preserve"> to safeguard the Faith and ensure its steady advancement into the future </w:t>
      </w:r>
      <w:r w:rsidRPr="004F2F3D">
        <w:rPr>
          <w:bCs/>
        </w:rPr>
        <w:t>were generally unknown.</w:t>
      </w:r>
      <w:r w:rsidRPr="004F2F3D">
        <w:t xml:space="preserve">  The believers anticipated a day when the Universal House of Justice would be established since it had been specifically mentioned in the Sacred Texts.  There was, however, no definite understanding that there would be a Guardian.  Indeed, Shoghi Effendi later indicated that he had no foreknowledge of the position to which he would be call</w:t>
      </w:r>
      <w:r w:rsidR="00F2607C" w:rsidRPr="004F2F3D">
        <w:t>ed.  At </w:t>
      </w:r>
      <w:r w:rsidR="000C1F9F" w:rsidRPr="004F2F3D">
        <w:t>most, he had reportedly thought</w:t>
      </w:r>
      <w:r w:rsidRPr="004F2F3D">
        <w:t xml:space="preserve"> the Will and Testament might charge him, as the eldest grandson of ‘Abdu’l-Bahá, with responsibility for arranging for the election of the House of Justice.  Only after the reading of the Will did the institution of the Guardianship become widely known, and the Bahá’í community worldwide acknowledged Shoghi Effendi as the Head of the Faith to whom all must turn.</w:t>
      </w:r>
    </w:p>
    <w:p w14:paraId="1C0F89B2" w14:textId="77777777" w:rsidR="003631C5" w:rsidRPr="004F2F3D" w:rsidRDefault="003631C5" w:rsidP="003631C5">
      <w:pPr>
        <w:pStyle w:val="BWCBodyText"/>
      </w:pPr>
    </w:p>
    <w:p w14:paraId="1B22425D" w14:textId="4577F248" w:rsidR="003631C5" w:rsidRPr="004F2F3D" w:rsidRDefault="003631C5" w:rsidP="00D652C8">
      <w:pPr>
        <w:pStyle w:val="BWCBodyText"/>
      </w:pPr>
      <w:r w:rsidRPr="004F2F3D">
        <w:t xml:space="preserve">An attentive reading of ‘Abdu’l-Bahá’s Will makes it clear that </w:t>
      </w:r>
      <w:r w:rsidR="00F2607C" w:rsidRPr="004F2F3D">
        <w:t>He did not indicate a </w:t>
      </w:r>
      <w:r w:rsidR="000C1F9F" w:rsidRPr="004F2F3D">
        <w:t>predestined outcome</w:t>
      </w:r>
      <w:r w:rsidRPr="004F2F3D">
        <w:t xml:space="preserve"> but did provide for a number of ci</w:t>
      </w:r>
      <w:r w:rsidR="00F2607C" w:rsidRPr="004F2F3D">
        <w:t>rcumstances which, depending on </w:t>
      </w:r>
      <w:r w:rsidRPr="004F2F3D">
        <w:t>future conditions, might eventually confront the Faith.  The second section</w:t>
      </w:r>
      <w:r w:rsidR="00F2607C" w:rsidRPr="004F2F3D">
        <w:t xml:space="preserve"> of the Will, for </w:t>
      </w:r>
      <w:r w:rsidRPr="004F2F3D">
        <w:t xml:space="preserve">instance, which refers only to the Universal House of Justice, with no mention of the </w:t>
      </w:r>
      <w:r w:rsidRPr="004F2F3D">
        <w:lastRenderedPageBreak/>
        <w:t>Guardianship, was written at a time when His own life was in imminent danger and Shoghi Effendi was but a small boy.  During that same period, ‘Abdu’l-Bahá had made arrangements for the election of the Universal House of Justice to take place immediately, should the threat on His life materialize.  Through the grace of God, the crisis pas</w:t>
      </w:r>
      <w:r w:rsidR="00A8301F">
        <w:t>sed, and it was ultimately left </w:t>
      </w:r>
      <w:r w:rsidRPr="004F2F3D">
        <w:t>to Shoghi Effendi many years later, as Guardian and Head of the Faith, to determine the timing of the formation of the House of Justice.  Early on he considered the possibility</w:t>
      </w:r>
      <w:r w:rsidR="00F2607C" w:rsidRPr="004F2F3D">
        <w:t xml:space="preserve"> of holding the </w:t>
      </w:r>
      <w:r w:rsidRPr="004F2F3D">
        <w:t>election soon after the passing of ‘Abdu’l-Bahá, in which ca</w:t>
      </w:r>
      <w:r w:rsidR="00F2607C" w:rsidRPr="004F2F3D">
        <w:t>se the House of Justice and the </w:t>
      </w:r>
      <w:r w:rsidRPr="004F2F3D">
        <w:t xml:space="preserve">Guardian would have functioned simultaneously.  He determined, of course, that the foundations of the Administrative Order needed first </w:t>
      </w:r>
      <w:r w:rsidRPr="004F2F3D">
        <w:rPr>
          <w:bCs/>
        </w:rPr>
        <w:t>to be firmly laid</w:t>
      </w:r>
      <w:r w:rsidRPr="004F2F3D">
        <w:t xml:space="preserve"> at the local and national levels, and it eventually transpired that the House of Justice was established several years after his own passing.  That the transition from the ministry of the Guardian to the election of the Universal House of Justice occurred with such relative ease can, itself, be attributed to the way certain provisions in the Will were formulated.</w:t>
      </w:r>
    </w:p>
    <w:p w14:paraId="0C58B551" w14:textId="77777777" w:rsidR="003631C5" w:rsidRPr="004F2F3D" w:rsidRDefault="003631C5" w:rsidP="003631C5">
      <w:pPr>
        <w:pStyle w:val="BWCBodyText"/>
      </w:pPr>
    </w:p>
    <w:p w14:paraId="42309B80" w14:textId="77777777" w:rsidR="003631C5" w:rsidRPr="004F2F3D" w:rsidRDefault="003631C5" w:rsidP="0042731A">
      <w:pPr>
        <w:pStyle w:val="BWCBodyText"/>
      </w:pPr>
      <w:r w:rsidRPr="004F2F3D">
        <w:t xml:space="preserve">‘Abdu’l-Bahá’s Will and Testament clearly allows for the possibility of </w:t>
      </w:r>
      <w:r w:rsidRPr="004F2F3D">
        <w:rPr>
          <w:bCs/>
        </w:rPr>
        <w:t>a successor to</w:t>
      </w:r>
      <w:r w:rsidR="00A8301F">
        <w:t> </w:t>
      </w:r>
      <w:r w:rsidRPr="004F2F3D">
        <w:t>Shoghi Effendi, and in this light, we find statements written by him or on his behalf ov</w:t>
      </w:r>
      <w:r w:rsidR="00A8301F">
        <w:t>er the </w:t>
      </w:r>
      <w:r w:rsidRPr="004F2F3D">
        <w:t>course of his thirty-six-year ministry that envision future Gu</w:t>
      </w:r>
      <w:r w:rsidR="00A8301F">
        <w:t>ardians.  However, there are no </w:t>
      </w:r>
      <w:r w:rsidRPr="004F2F3D">
        <w:t>assurances in the Writings that the line of Guardians would continue throughout the Dispensation; rather, the possibility is envisaged that such a line</w:t>
      </w:r>
      <w:r w:rsidR="00A8301F">
        <w:t xml:space="preserve"> would come to an end.  In this </w:t>
      </w:r>
      <w:r w:rsidRPr="004F2F3D">
        <w:t>respect, Bahá’u’lláh states in the Kitáb-i-Aqdas:</w:t>
      </w:r>
    </w:p>
    <w:p w14:paraId="5DCA4461" w14:textId="77777777" w:rsidR="003631C5" w:rsidRPr="004F2F3D" w:rsidRDefault="003631C5" w:rsidP="00771D6D">
      <w:pPr>
        <w:pStyle w:val="BWCQuote"/>
      </w:pPr>
    </w:p>
    <w:p w14:paraId="33AE36FF" w14:textId="259689BA" w:rsidR="003631C5" w:rsidRPr="004F2F3D" w:rsidRDefault="003631C5" w:rsidP="00771D6D">
      <w:pPr>
        <w:pStyle w:val="BWCQuote"/>
        <w:ind w:firstLine="576"/>
      </w:pPr>
      <w:r w:rsidRPr="004F2F3D">
        <w:t>Endowments dedicated to charity revert to God, th</w:t>
      </w:r>
      <w:r w:rsidR="00771D6D" w:rsidRPr="004F2F3D">
        <w:t>e Revealer of Signs.  None </w:t>
      </w:r>
      <w:r w:rsidR="00F2607C" w:rsidRPr="004F2F3D">
        <w:t>hath</w:t>
      </w:r>
      <w:r w:rsidR="00771D6D" w:rsidRPr="004F2F3D">
        <w:t xml:space="preserve"> </w:t>
      </w:r>
      <w:r w:rsidRPr="004F2F3D">
        <w:t xml:space="preserve">the right to dispose of them without leave from </w:t>
      </w:r>
      <w:r w:rsidR="00F2607C" w:rsidRPr="004F2F3D">
        <w:t>Him Who is the Dawning-place of</w:t>
      </w:r>
      <w:r w:rsidR="00771D6D" w:rsidRPr="004F2F3D">
        <w:t xml:space="preserve"> </w:t>
      </w:r>
      <w:r w:rsidRPr="004F2F3D">
        <w:t>Revelation.  After Him, this authority shall pass to the A</w:t>
      </w:r>
      <w:r w:rsidRPr="004F2F3D">
        <w:rPr>
          <w:u w:val="single"/>
        </w:rPr>
        <w:t>gh</w:t>
      </w:r>
      <w:r w:rsidRPr="004F2F3D">
        <w:t>ṣ</w:t>
      </w:r>
      <w:r w:rsidR="00A54B9B">
        <w:t>á</w:t>
      </w:r>
      <w:r w:rsidR="00F2607C" w:rsidRPr="004F2F3D">
        <w:t>n, and after them to the</w:t>
      </w:r>
      <w:r w:rsidR="00771D6D" w:rsidRPr="004F2F3D">
        <w:t xml:space="preserve"> </w:t>
      </w:r>
      <w:r w:rsidRPr="004F2F3D">
        <w:t xml:space="preserve">House of Justice—should it be established in the world by then—that they may use these endowments for the benefit of </w:t>
      </w:r>
      <w:r w:rsidR="00771D6D" w:rsidRPr="004F2F3D">
        <w:t>the Places which have </w:t>
      </w:r>
      <w:r w:rsidRPr="004F2F3D">
        <w:t>been exalted in this Cause, and for whatsoev</w:t>
      </w:r>
      <w:r w:rsidR="00771D6D" w:rsidRPr="004F2F3D">
        <w:t>er hath been enjoined upon them </w:t>
      </w:r>
      <w:r w:rsidRPr="004F2F3D">
        <w:t xml:space="preserve">by </w:t>
      </w:r>
      <w:r w:rsidR="00F2607C" w:rsidRPr="004F2F3D">
        <w:t>Him Who is the God of might and </w:t>
      </w:r>
      <w:r w:rsidRPr="004F2F3D">
        <w:t>power.  Otherwise, the endowments shall revert to the people of Bahá who speak not ex</w:t>
      </w:r>
      <w:r w:rsidR="00771D6D" w:rsidRPr="004F2F3D">
        <w:t>cept by His leave and judge not </w:t>
      </w:r>
      <w:r w:rsidRPr="004F2F3D">
        <w:t xml:space="preserve">save in accordance with what God hath decreed </w:t>
      </w:r>
      <w:r w:rsidR="00771D6D" w:rsidRPr="004F2F3D">
        <w:t>in this Tablet—lo, they are the </w:t>
      </w:r>
      <w:r w:rsidRPr="004F2F3D">
        <w:t>champions of victory betwixt heaven and earth—that they may use them in the manner that hath been laid down in the Book by God, the Mighty, the Bountiful.</w:t>
      </w:r>
    </w:p>
    <w:p w14:paraId="3D80B4D8" w14:textId="77777777" w:rsidR="003631C5" w:rsidRPr="004F2F3D" w:rsidRDefault="003631C5" w:rsidP="003631C5">
      <w:pPr>
        <w:pStyle w:val="BWCBodyText"/>
      </w:pPr>
    </w:p>
    <w:p w14:paraId="0DA6A501" w14:textId="1B2E68AF" w:rsidR="003631C5" w:rsidRPr="00A377A4" w:rsidRDefault="003631C5" w:rsidP="00D652C8">
      <w:pPr>
        <w:pStyle w:val="BWCBodyText"/>
        <w:ind w:firstLine="0"/>
      </w:pPr>
      <w:r w:rsidRPr="004F2F3D">
        <w:t xml:space="preserve">The passing of Shoghi Effendi precipitated the situation described, in which the authority vested in the </w:t>
      </w:r>
      <w:r w:rsidR="00CC6D5D" w:rsidRPr="004F2F3D">
        <w:t>A</w:t>
      </w:r>
      <w:r w:rsidR="00CC6D5D" w:rsidRPr="004F2F3D">
        <w:rPr>
          <w:u w:val="single"/>
        </w:rPr>
        <w:t>gh</w:t>
      </w:r>
      <w:r w:rsidR="00CC6D5D" w:rsidRPr="004F2F3D">
        <w:t>ṣ</w:t>
      </w:r>
      <w:r w:rsidR="00CC6D5D">
        <w:t>á</w:t>
      </w:r>
      <w:r w:rsidR="00CC6D5D" w:rsidRPr="004F2F3D">
        <w:t>n</w:t>
      </w:r>
      <w:r w:rsidRPr="004F2F3D">
        <w:t>—first in ‘Abdu’l-Bahá and then in Shoghi Effendi—ended before the House of Justice was established.</w:t>
      </w:r>
      <w:r w:rsidR="00A377A4" w:rsidRPr="00A377A4">
        <w:t xml:space="preserve"> </w:t>
      </w:r>
    </w:p>
    <w:p w14:paraId="4D14C55E" w14:textId="77777777" w:rsidR="003631C5" w:rsidRPr="004F2F3D" w:rsidRDefault="003631C5" w:rsidP="003631C5">
      <w:pPr>
        <w:pStyle w:val="BWCBodyText"/>
      </w:pPr>
    </w:p>
    <w:p w14:paraId="30E49538" w14:textId="77777777" w:rsidR="003631C5" w:rsidRPr="004F2F3D" w:rsidRDefault="003631C5" w:rsidP="003631C5">
      <w:pPr>
        <w:pStyle w:val="BWCBodyText"/>
      </w:pPr>
      <w:r w:rsidRPr="004F2F3D">
        <w:t>In His Will and Testament, ‘Abdu’l-Bahá specifies in the clearest terms the conditions according to which Shoghi Effendi was to have named his successor as Guardian:</w:t>
      </w:r>
    </w:p>
    <w:p w14:paraId="4C3D58AA" w14:textId="77777777" w:rsidR="003631C5" w:rsidRPr="004F2F3D" w:rsidRDefault="003631C5" w:rsidP="003631C5">
      <w:pPr>
        <w:pStyle w:val="BWCBodyText"/>
      </w:pPr>
    </w:p>
    <w:p w14:paraId="687F4AFF" w14:textId="77777777" w:rsidR="003631C5" w:rsidRPr="004F2F3D" w:rsidRDefault="003631C5" w:rsidP="00751D1C">
      <w:pPr>
        <w:pStyle w:val="BWCQuote"/>
        <w:ind w:firstLine="576"/>
      </w:pPr>
      <w:r w:rsidRPr="004F2F3D">
        <w:t>O ye beloved of the Lord!  It is incumbent up</w:t>
      </w:r>
      <w:r w:rsidR="00DD214E" w:rsidRPr="004F2F3D">
        <w:t>on the guardian of the Cause of </w:t>
      </w:r>
      <w:r w:rsidRPr="004F2F3D">
        <w:t>God to appoint in his own life-time him that shall become his successor, that differences may not arise after his passing.  He that is appointed must manifest in himself detachment from all worldly things, must be the essence of purity, m</w:t>
      </w:r>
      <w:r w:rsidR="007104F7" w:rsidRPr="004F2F3D">
        <w:t>ust show in himself the fear of</w:t>
      </w:r>
      <w:r w:rsidR="00DD214E" w:rsidRPr="004F2F3D">
        <w:t xml:space="preserve"> </w:t>
      </w:r>
      <w:r w:rsidRPr="004F2F3D">
        <w:t xml:space="preserve">God, knowledge, wisdom and learning.  Thus, should the first-born of </w:t>
      </w:r>
      <w:r w:rsidR="007104F7" w:rsidRPr="004F2F3D">
        <w:t>the guardian of</w:t>
      </w:r>
      <w:r w:rsidR="00DD214E" w:rsidRPr="004F2F3D">
        <w:t xml:space="preserve"> </w:t>
      </w:r>
      <w:r w:rsidRPr="004F2F3D">
        <w:t>the Cause of God no</w:t>
      </w:r>
      <w:r w:rsidR="00DD214E" w:rsidRPr="004F2F3D">
        <w:t>t manifest in himself the truth </w:t>
      </w:r>
      <w:r w:rsidR="008B1731">
        <w:t>of the words:</w:t>
      </w:r>
      <w:r w:rsidRPr="004F2F3D">
        <w:t>—“The child is the secret essence o</w:t>
      </w:r>
      <w:r w:rsidR="00DD214E" w:rsidRPr="004F2F3D">
        <w:t>f its sire,” that is, should he </w:t>
      </w:r>
      <w:r w:rsidRPr="004F2F3D">
        <w:t>not inherit of the spiritual within him (the guardi</w:t>
      </w:r>
      <w:r w:rsidR="00DD214E" w:rsidRPr="004F2F3D">
        <w:t>an of the Cause of God) and his </w:t>
      </w:r>
      <w:r w:rsidRPr="004F2F3D">
        <w:t>glorious lineage not be matched with a goodly character, then must he, (the guardian of the Cause of God) choose another branch to succeed him.</w:t>
      </w:r>
    </w:p>
    <w:p w14:paraId="766CFF49" w14:textId="77777777" w:rsidR="003041B3" w:rsidRDefault="003041B3" w:rsidP="005217B8">
      <w:pPr>
        <w:pStyle w:val="BWCQuote"/>
        <w:ind w:firstLine="576"/>
      </w:pPr>
    </w:p>
    <w:p w14:paraId="4E8A8DE0" w14:textId="5E72B952" w:rsidR="003631C5" w:rsidRPr="004F2F3D" w:rsidRDefault="003631C5" w:rsidP="005217B8">
      <w:pPr>
        <w:pStyle w:val="BWCQuote"/>
        <w:ind w:firstLine="576"/>
      </w:pPr>
      <w:r w:rsidRPr="004F2F3D">
        <w:lastRenderedPageBreak/>
        <w:t>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w:t>
      </w:r>
      <w:r w:rsidR="00DD214E" w:rsidRPr="004F2F3D">
        <w:t>o the </w:t>
      </w:r>
      <w:r w:rsidRPr="004F2F3D">
        <w:t>choice of the one whom the guardian of the Cause of God hath chosen as his successor.  This assent must be given in such wise as the assenting and dissenting voices may not be distinguished</w:t>
      </w:r>
      <w:r w:rsidR="003041B3">
        <w:t xml:space="preserve"> (i.e., secret ballot)</w:t>
      </w:r>
      <w:r w:rsidRPr="004F2F3D">
        <w:t>.</w:t>
      </w:r>
    </w:p>
    <w:p w14:paraId="3471BC0B" w14:textId="77777777" w:rsidR="003631C5" w:rsidRPr="004F2F3D" w:rsidRDefault="003631C5" w:rsidP="003631C5">
      <w:pPr>
        <w:pStyle w:val="BWCBodyText"/>
      </w:pPr>
    </w:p>
    <w:p w14:paraId="0A47BA88" w14:textId="723C5E05" w:rsidR="003631C5" w:rsidRPr="004F2F3D" w:rsidRDefault="003631C5" w:rsidP="003041B3">
      <w:pPr>
        <w:pStyle w:val="BWCBodyText"/>
      </w:pPr>
      <w:r w:rsidRPr="004F2F3D">
        <w:t>The personal views of any individual regarding the above statement, no matter how learned, cannot compare with the Guardian’s infallible understanding of the passage.  Shoghi Effendi, who faithfully adhered to the wishes of Bahá’u’lláh and ‘Abdu’l-Bahá throughout his ministry, would never have been careless in a matter so essential t</w:t>
      </w:r>
      <w:r w:rsidR="007104F7" w:rsidRPr="004F2F3D">
        <w:t>o the integrity of the Faith as </w:t>
      </w:r>
      <w:r w:rsidRPr="004F2F3D">
        <w:t>the question of the appointment of his successor.  It is unthinkable that he would appoint someone to succeed him who did not possess the qualifications laid down by ‘Abdu’l-Bahá in His Will.  It is equally untenable to suggest that he would do so in a manner which deviated from the explicit requirements in that same document, which included the affirmation of his choice by nine designated Hands of the Cause of God, so that “differences” would “not arise after his passing.”  How perverse the suggestion of the violators of the Covenant that Shoghi Effendi would ignore the Master’s instructions and make a veiled and indirect appointment of his successor!  Rather should the fact that Shoghi Effendi did not name a successor be seen as a sign of his meticulous adherence to ev</w:t>
      </w:r>
      <w:r w:rsidR="007104F7" w:rsidRPr="004F2F3D">
        <w:t>ery word of ‘Abdu’l-Bahá’s Will </w:t>
      </w:r>
      <w:r w:rsidRPr="004F2F3D">
        <w:t>and an indication of his conclusion</w:t>
      </w:r>
      <w:r w:rsidRPr="004F2F3D">
        <w:rPr>
          <w:b/>
          <w:bCs/>
        </w:rPr>
        <w:t xml:space="preserve"> </w:t>
      </w:r>
      <w:r w:rsidRPr="004F2F3D">
        <w:t>that there was no qualified individual whom he could appoint.</w:t>
      </w:r>
    </w:p>
    <w:p w14:paraId="7CCBA049" w14:textId="77777777" w:rsidR="003631C5" w:rsidRPr="004F2F3D" w:rsidRDefault="003631C5" w:rsidP="003631C5">
      <w:pPr>
        <w:pStyle w:val="BWCBodyText"/>
      </w:pPr>
    </w:p>
    <w:p w14:paraId="2AD10928" w14:textId="5D91C869" w:rsidR="003631C5" w:rsidRPr="004F2F3D" w:rsidRDefault="003631C5" w:rsidP="00577F2F">
      <w:pPr>
        <w:pStyle w:val="BWCBodyText"/>
      </w:pPr>
      <w:r w:rsidRPr="004F2F3D">
        <w:t>Therefore, it should be clear</w:t>
      </w:r>
      <w:r w:rsidR="003041B3">
        <w:t xml:space="preserve"> to </w:t>
      </w:r>
      <w:r w:rsidRPr="004F2F3D">
        <w:t xml:space="preserve">every steadfast </w:t>
      </w:r>
      <w:r w:rsidR="007104F7" w:rsidRPr="004F2F3D">
        <w:t>follower of Bahá’u’lláh that </w:t>
      </w:r>
      <w:r w:rsidRPr="004F2F3D">
        <w:t>the end of the line of Guardians was not the result of any decision or action taken by the Hands of the Cause of God following the sudden passing of Shoghi Effendi</w:t>
      </w:r>
      <w:r w:rsidR="007104F7" w:rsidRPr="004F2F3D">
        <w:t>.  The line was brought to a </w:t>
      </w:r>
      <w:r w:rsidRPr="004F2F3D">
        <w:t>close when, compelled by existing circumstances and the strict provisions of the Will, Shoghi Effendi did not name a successor.  To entertain the possib</w:t>
      </w:r>
      <w:r w:rsidR="00603ABA" w:rsidRPr="004F2F3D">
        <w:t>ility that it may one day be re</w:t>
      </w:r>
      <w:r w:rsidR="00E35BDE">
        <w:t>-</w:t>
      </w:r>
      <w:r w:rsidRPr="004F2F3D">
        <w:t xml:space="preserve">established is futile.  </w:t>
      </w:r>
      <w:r w:rsidR="000C1F9F" w:rsidRPr="004F2F3D">
        <w:t xml:space="preserve">‘Abdu’l-Bahá wrote </w:t>
      </w:r>
      <w:r w:rsidRPr="00B909D0">
        <w:t xml:space="preserve">that </w:t>
      </w:r>
      <w:r w:rsidR="000C1F9F" w:rsidRPr="00B909D0">
        <w:t>“</w:t>
      </w:r>
      <w:r w:rsidRPr="00B909D0">
        <w:t>ere the expiration of a thousand years, no one has the right to utter a single word, even to claim the station of Guardianship.”  And in the same passage He exhorted the friends</w:t>
      </w:r>
      <w:r w:rsidR="000C1F9F" w:rsidRPr="00B909D0">
        <w:t>,</w:t>
      </w:r>
      <w:r w:rsidRPr="00B909D0">
        <w:t xml:space="preserve"> “Should there be differences of opinion, the Supreme House of Justice would immediately resolve the problems.”  </w:t>
      </w:r>
      <w:r w:rsidRPr="004F2F3D">
        <w:t xml:space="preserve">The Universal House of Justice, soon after its formation, stated that </w:t>
      </w:r>
      <w:r w:rsidRPr="004F2F3D">
        <w:rPr>
          <w:bCs/>
        </w:rPr>
        <w:t>it “finds that</w:t>
      </w:r>
      <w:r w:rsidRPr="004F2F3D">
        <w:t xml:space="preserve"> there is no way to appoint or to legislate to make it possible to appoint a second Guardian to succeed Shoghi Effendi.”</w:t>
      </w:r>
    </w:p>
    <w:p w14:paraId="30590818" w14:textId="77777777" w:rsidR="003631C5" w:rsidRPr="004F2F3D" w:rsidRDefault="003631C5" w:rsidP="003631C5">
      <w:pPr>
        <w:pStyle w:val="BWCBodyText"/>
      </w:pPr>
    </w:p>
    <w:p w14:paraId="62983BE9" w14:textId="3CC24D58" w:rsidR="003631C5" w:rsidRPr="00786532" w:rsidRDefault="003631C5" w:rsidP="00751D1C">
      <w:pPr>
        <w:pStyle w:val="BWCBodyText"/>
      </w:pPr>
      <w:r w:rsidRPr="004F2F3D">
        <w:t xml:space="preserve">While the line of Guardians has ended, the Covenant is preserved.  The vast body of interpretations of Shoghi Effendi informs the decisions of the Universal House of Justice as the Faith continues its onward march.  The unity of </w:t>
      </w:r>
      <w:r w:rsidRPr="00FE113E">
        <w:t>the Faith is safeguarded</w:t>
      </w:r>
      <w:r w:rsidR="000C1F9F" w:rsidRPr="00FE113E">
        <w:t>,</w:t>
      </w:r>
      <w:r w:rsidRPr="00FE113E">
        <w:t xml:space="preserve"> and the realization of Bahá’u’lláh’s great purpose for humanity assured.  “The Hand of Omnipotence hath established His Revelation upon an unassailable, an enduring foundation,” Bahá’u’lláh </w:t>
      </w:r>
      <w:r w:rsidR="00C2446F" w:rsidRPr="00FE113E">
        <w:t>has stated</w:t>
      </w:r>
      <w:r w:rsidRPr="00FE113E">
        <w:t>.  “Storms of human strife are powerless to undermine its basis, nor will men’s fanciful theories succeed in damaging its structure.”</w:t>
      </w:r>
    </w:p>
    <w:p w14:paraId="053F4685" w14:textId="77777777" w:rsidR="003631C5" w:rsidRPr="004F2F3D" w:rsidRDefault="003631C5" w:rsidP="003631C5">
      <w:pPr>
        <w:pStyle w:val="BWCBodyText"/>
      </w:pPr>
    </w:p>
    <w:p w14:paraId="67810CDE" w14:textId="77777777" w:rsidR="003631C5" w:rsidRPr="004F2F3D" w:rsidRDefault="003631C5" w:rsidP="003631C5">
      <w:pPr>
        <w:pStyle w:val="BWCBodyText"/>
        <w:ind w:firstLine="0"/>
        <w:jc w:val="center"/>
      </w:pPr>
      <w:r w:rsidRPr="004F2F3D">
        <w:t>*</w:t>
      </w:r>
    </w:p>
    <w:p w14:paraId="5CD79576" w14:textId="77777777" w:rsidR="00786532" w:rsidRDefault="00786532" w:rsidP="000813D7">
      <w:pPr>
        <w:widowControl w:val="0"/>
        <w:ind w:right="-190"/>
      </w:pPr>
    </w:p>
    <w:p w14:paraId="558DB086" w14:textId="51358B17" w:rsidR="003631C5" w:rsidRPr="00302308" w:rsidRDefault="003631C5" w:rsidP="00E35BDE">
      <w:pPr>
        <w:pStyle w:val="BWCBodyText"/>
        <w:ind w:right="8"/>
        <w:rPr>
          <w:rFonts w:ascii="Times New Roman" w:hAnsi="Times New Roman" w:cs="Times New Roman"/>
          <w:snapToGrid w:val="0"/>
          <w:w w:val="100"/>
          <w:kern w:val="0"/>
          <w:szCs w:val="22"/>
          <w:lang w:val="en-US"/>
        </w:rPr>
      </w:pPr>
      <w:r w:rsidRPr="004F2F3D">
        <w:t xml:space="preserve">With reference to the specific questions </w:t>
      </w:r>
      <w:r w:rsidR="00C2446F" w:rsidRPr="004F2F3D">
        <w:t>raised in the letter we have received</w:t>
      </w:r>
      <w:r w:rsidR="006E6CCB">
        <w:t>, one concerns the </w:t>
      </w:r>
      <w:r w:rsidRPr="004F2F3D">
        <w:t xml:space="preserve">meaning of the </w:t>
      </w:r>
      <w:r w:rsidRPr="0003220F">
        <w:t>designation “</w:t>
      </w:r>
      <w:r w:rsidR="00695B0B" w:rsidRPr="0003220F">
        <w:t>A</w:t>
      </w:r>
      <w:r w:rsidR="00695B0B" w:rsidRPr="0003220F">
        <w:rPr>
          <w:u w:val="single"/>
        </w:rPr>
        <w:t>gh</w:t>
      </w:r>
      <w:r w:rsidR="00695B0B" w:rsidRPr="0003220F">
        <w:t>ṣán</w:t>
      </w:r>
      <w:r w:rsidRPr="0003220F">
        <w:t>”</w:t>
      </w:r>
      <w:r w:rsidR="0003220F">
        <w:t>,</w:t>
      </w:r>
      <w:r w:rsidRPr="0003220F">
        <w:t xml:space="preserve"> as</w:t>
      </w:r>
      <w:r w:rsidRPr="004F2F3D">
        <w:t xml:space="preserve"> found in the Writings.  While in some cases, as affirmed by the Guardian, the term applies specifically to Bahá’u’ll</w:t>
      </w:r>
      <w:r w:rsidR="006E6CCB">
        <w:t>áh’s sons, at other times it is </w:t>
      </w:r>
      <w:r w:rsidRPr="004F2F3D">
        <w:t>u</w:t>
      </w:r>
      <w:r w:rsidR="0003220F">
        <w:t>sed more broadly to include His </w:t>
      </w:r>
      <w:r w:rsidRPr="004F2F3D">
        <w:t>male descendants.  For example, in His Will and Testament ‘Abdu’l-B</w:t>
      </w:r>
      <w:r w:rsidR="0003220F">
        <w:t>ahá refers to Shoghi </w:t>
      </w:r>
      <w:r w:rsidRPr="004F2F3D">
        <w:t xml:space="preserve">Effendi as </w:t>
      </w:r>
      <w:r w:rsidRPr="0003220F">
        <w:t>“the chosen branch”</w:t>
      </w:r>
      <w:r w:rsidRPr="004F2F3D">
        <w:t xml:space="preserve"> (</w:t>
      </w:r>
      <w:r w:rsidRPr="004F2F3D">
        <w:rPr>
          <w:u w:val="single"/>
        </w:rPr>
        <w:t>Gh</w:t>
      </w:r>
      <w:r w:rsidRPr="004F2F3D">
        <w:t xml:space="preserve">uṣn-i-Mumtáz).  </w:t>
      </w:r>
      <w:r w:rsidRPr="004F2F3D">
        <w:lastRenderedPageBreak/>
        <w:t xml:space="preserve">The reference to Shoghi Effendi as </w:t>
      </w:r>
      <w:r w:rsidRPr="004F2F3D">
        <w:rPr>
          <w:u w:val="single"/>
        </w:rPr>
        <w:t>Gh</w:t>
      </w:r>
      <w:r w:rsidRPr="004F2F3D">
        <w:t xml:space="preserve">uṣn here—the singular form of </w:t>
      </w:r>
      <w:r w:rsidR="00695B0B" w:rsidRPr="004F2F3D">
        <w:t>A</w:t>
      </w:r>
      <w:r w:rsidR="00695B0B" w:rsidRPr="004F2F3D">
        <w:rPr>
          <w:u w:val="single"/>
        </w:rPr>
        <w:t>gh</w:t>
      </w:r>
      <w:r w:rsidR="00695B0B" w:rsidRPr="004F2F3D">
        <w:t>ṣ</w:t>
      </w:r>
      <w:r w:rsidR="00695B0B">
        <w:t>á</w:t>
      </w:r>
      <w:r w:rsidR="00695B0B" w:rsidRPr="004F2F3D">
        <w:t>n</w:t>
      </w:r>
      <w:r w:rsidRPr="004F2F3D">
        <w:t>—follows the usage of B</w:t>
      </w:r>
      <w:r w:rsidR="000813D7">
        <w:t>ahá’u’lláh in relation to the </w:t>
      </w:r>
      <w:r w:rsidRPr="004F2F3D">
        <w:t xml:space="preserve">titles He gave His sons, that is, the Most Great Branch, the Greater Branch, and the Purest Branch.  A letter written on behalf of Shoghi Effendi explains that the word </w:t>
      </w:r>
      <w:r w:rsidR="00695B0B" w:rsidRPr="000813D7">
        <w:t>A</w:t>
      </w:r>
      <w:r w:rsidR="00695B0B" w:rsidRPr="000813D7">
        <w:rPr>
          <w:u w:val="single"/>
        </w:rPr>
        <w:t>gh</w:t>
      </w:r>
      <w:r w:rsidR="00695B0B" w:rsidRPr="000813D7">
        <w:t xml:space="preserve">ṣán </w:t>
      </w:r>
      <w:r w:rsidR="000813D7">
        <w:t>“refers to </w:t>
      </w:r>
      <w:r w:rsidRPr="000813D7">
        <w:t>Bahá’u’lláh’s descendants”</w:t>
      </w:r>
      <w:r w:rsidRPr="009871DC">
        <w:t>; another</w:t>
      </w:r>
      <w:r w:rsidRPr="004F2F3D">
        <w:t xml:space="preserve"> describes Hussein</w:t>
      </w:r>
      <w:r w:rsidR="00E35BDE">
        <w:t> </w:t>
      </w:r>
      <w:r w:rsidRPr="004F2F3D">
        <w:t xml:space="preserve">Rabbani, the Guardian’s brother, as </w:t>
      </w:r>
      <w:r w:rsidR="006E6CCB">
        <w:t>“</w:t>
      </w:r>
      <w:r w:rsidR="006E6CCB" w:rsidRPr="006E6CCB">
        <w:t>the</w:t>
      </w:r>
      <w:r w:rsidR="006E6CCB">
        <w:t> </w:t>
      </w:r>
      <w:r w:rsidRPr="006E6CCB">
        <w:t>grandchild</w:t>
      </w:r>
      <w:r w:rsidRPr="00302308">
        <w:t xml:space="preserve"> of the Master, an Afnán and </w:t>
      </w:r>
      <w:r w:rsidR="00695B0B" w:rsidRPr="00302308">
        <w:t>A</w:t>
      </w:r>
      <w:r w:rsidR="00695B0B" w:rsidRPr="00302308">
        <w:rPr>
          <w:u w:val="single"/>
        </w:rPr>
        <w:t>gh</w:t>
      </w:r>
      <w:r w:rsidR="00695B0B" w:rsidRPr="00302308">
        <w:t xml:space="preserve">ṣán </w:t>
      </w:r>
      <w:r w:rsidRPr="00302308">
        <w:t>mentioned i</w:t>
      </w:r>
      <w:r w:rsidR="000813D7">
        <w:t>n the Will </w:t>
      </w:r>
      <w:r w:rsidR="003A34AA" w:rsidRPr="00302308">
        <w:t>and Testament of the </w:t>
      </w:r>
      <w:r w:rsidRPr="00302308">
        <w:t>Master.”</w:t>
      </w:r>
      <w:r w:rsidR="00302308">
        <w:rPr>
          <w:rFonts w:cs="Times New Roman"/>
          <w:w w:val="100"/>
          <w:szCs w:val="22"/>
        </w:rPr>
        <w:t xml:space="preserve">  </w:t>
      </w:r>
      <w:r w:rsidRPr="004F2F3D">
        <w:t xml:space="preserve">It is evident, then, that the designation </w:t>
      </w:r>
      <w:r w:rsidR="00695B0B" w:rsidRPr="004F2F3D">
        <w:t>A</w:t>
      </w:r>
      <w:r w:rsidR="00695B0B" w:rsidRPr="004F2F3D">
        <w:rPr>
          <w:u w:val="single"/>
        </w:rPr>
        <w:t>gh</w:t>
      </w:r>
      <w:r w:rsidR="00695B0B" w:rsidRPr="004F2F3D">
        <w:t>ṣ</w:t>
      </w:r>
      <w:r w:rsidR="00695B0B">
        <w:t>á</w:t>
      </w:r>
      <w:r w:rsidR="00695B0B" w:rsidRPr="004F2F3D">
        <w:t>n</w:t>
      </w:r>
      <w:r w:rsidRPr="004F2F3D">
        <w:t xml:space="preserve">, or </w:t>
      </w:r>
      <w:r w:rsidRPr="004F2F3D">
        <w:rPr>
          <w:u w:val="single"/>
        </w:rPr>
        <w:t>Gh</w:t>
      </w:r>
      <w:r w:rsidRPr="004F2F3D">
        <w:t>uṣn, includes Shoghi Effendi and the other</w:t>
      </w:r>
      <w:r w:rsidRPr="004F2F3D">
        <w:rPr>
          <w:b/>
          <w:bCs/>
        </w:rPr>
        <w:t xml:space="preserve"> </w:t>
      </w:r>
      <w:r w:rsidRPr="004F2F3D">
        <w:t>male descendants of Bahá’u’lláh.</w:t>
      </w:r>
    </w:p>
    <w:p w14:paraId="37B9EAA8" w14:textId="77777777" w:rsidR="003631C5" w:rsidRPr="004F2F3D" w:rsidRDefault="003631C5" w:rsidP="003631C5">
      <w:pPr>
        <w:pStyle w:val="BWCBodyText"/>
      </w:pPr>
    </w:p>
    <w:p w14:paraId="726C1109" w14:textId="77777777" w:rsidR="003631C5" w:rsidRPr="004F2F3D" w:rsidRDefault="003631C5" w:rsidP="00A761B4">
      <w:pPr>
        <w:pStyle w:val="BWCBodyText"/>
      </w:pPr>
      <w:r w:rsidRPr="004F2F3D">
        <w:t xml:space="preserve">If, </w:t>
      </w:r>
      <w:r w:rsidRPr="004F2F3D">
        <w:rPr>
          <w:bCs/>
        </w:rPr>
        <w:t>at any time</w:t>
      </w:r>
      <w:r w:rsidRPr="004F2F3D">
        <w:t xml:space="preserve">, male descendants of Bahá’u’lláh appear who are faithful to the Covenant, it would nevertheless </w:t>
      </w:r>
      <w:r w:rsidR="00A761B4">
        <w:t xml:space="preserve">not </w:t>
      </w:r>
      <w:r w:rsidRPr="004F2F3D">
        <w:t xml:space="preserve">be possible for any of them </w:t>
      </w:r>
      <w:r w:rsidRPr="004F2F3D">
        <w:rPr>
          <w:bCs/>
        </w:rPr>
        <w:t>to occupy the office of Guardian</w:t>
      </w:r>
      <w:r w:rsidRPr="004F2F3D">
        <w:t>, for, as</w:t>
      </w:r>
      <w:r w:rsidR="00A761B4">
        <w:t> </w:t>
      </w:r>
      <w:r w:rsidRPr="004F2F3D">
        <w:t xml:space="preserve">already explained, in the absence of appointment by Shoghi Effendi, they cannot claim the station of Guardianship </w:t>
      </w:r>
      <w:r w:rsidRPr="004F2F3D">
        <w:rPr>
          <w:bCs/>
        </w:rPr>
        <w:t>and there is no way for one to be</w:t>
      </w:r>
      <w:r w:rsidRPr="004F2F3D">
        <w:t xml:space="preserve"> named to it by an act of the House of Justice.</w:t>
      </w:r>
    </w:p>
    <w:p w14:paraId="36D67697" w14:textId="77777777" w:rsidR="003631C5" w:rsidRPr="004F2F3D" w:rsidRDefault="003631C5" w:rsidP="003631C5">
      <w:pPr>
        <w:pStyle w:val="BWCBodyText"/>
      </w:pPr>
    </w:p>
    <w:p w14:paraId="5C903D1F" w14:textId="77777777" w:rsidR="003631C5" w:rsidRPr="004F2F3D" w:rsidRDefault="003631C5" w:rsidP="003631C5">
      <w:pPr>
        <w:pStyle w:val="BWCBodyText"/>
        <w:ind w:firstLine="0"/>
        <w:jc w:val="center"/>
      </w:pPr>
      <w:r w:rsidRPr="004F2F3D">
        <w:t>*</w:t>
      </w:r>
    </w:p>
    <w:p w14:paraId="2485A5EE" w14:textId="77777777" w:rsidR="003631C5" w:rsidRPr="004F2F3D" w:rsidRDefault="003631C5" w:rsidP="003631C5">
      <w:pPr>
        <w:pStyle w:val="BWCBodyText"/>
      </w:pPr>
    </w:p>
    <w:p w14:paraId="363B62DE" w14:textId="0E25C428" w:rsidR="003631C5" w:rsidRPr="006F06C5" w:rsidRDefault="003631C5" w:rsidP="00A761B4">
      <w:pPr>
        <w:pStyle w:val="BWCBodyText"/>
        <w:rPr>
          <w:rFonts w:cs="Times New Roman"/>
          <w:w w:val="100"/>
          <w:szCs w:val="22"/>
        </w:rPr>
      </w:pPr>
      <w:r w:rsidRPr="004F2F3D">
        <w:t xml:space="preserve">Another query concerns the establishment of the Universal House of Justice.  Specifically, the question has been asked whether the functioning of </w:t>
      </w:r>
      <w:r w:rsidRPr="009871DC">
        <w:t>an “officially recognized”</w:t>
      </w:r>
      <w:r w:rsidRPr="004F2F3D">
        <w:t xml:space="preserve"> International Bahá’í Court in the Holy Land, mentioned by Shoghi Effendi, was an essential preliminary step in the evolution of the Universal House of Justice.</w:t>
      </w:r>
    </w:p>
    <w:p w14:paraId="1F4CBC76" w14:textId="77777777" w:rsidR="003631C5" w:rsidRPr="004F2F3D" w:rsidRDefault="003631C5" w:rsidP="003631C5">
      <w:pPr>
        <w:pStyle w:val="BWCBodyText"/>
      </w:pPr>
    </w:p>
    <w:p w14:paraId="5DE6BE3A" w14:textId="59E2DAFE" w:rsidR="003631C5" w:rsidRPr="00B3316F" w:rsidRDefault="003631C5" w:rsidP="00A761B4">
      <w:pPr>
        <w:widowControl w:val="0"/>
        <w:ind w:firstLine="576"/>
        <w:rPr>
          <w:rFonts w:ascii="Times New Roman" w:hAnsi="Times New Roman" w:cs="Times New Roman"/>
          <w:snapToGrid w:val="0"/>
          <w:w w:val="100"/>
          <w:kern w:val="0"/>
          <w:szCs w:val="22"/>
          <w:lang w:val="en-US"/>
        </w:rPr>
      </w:pPr>
      <w:r w:rsidRPr="00B3316F">
        <w:t>As you are no doubt aware, Shoghi Effendi explained that “‘Abdu’l-Bahá, Himself, in one</w:t>
      </w:r>
      <w:r w:rsidR="00A761B4">
        <w:t> </w:t>
      </w:r>
      <w:r w:rsidRPr="00B3316F">
        <w:t xml:space="preserve">of His earliest Tablets, contemplated the </w:t>
      </w:r>
      <w:r w:rsidR="00B3316F">
        <w:t>possibility of the formation of </w:t>
      </w:r>
      <w:r w:rsidRPr="00B3316F">
        <w:t>the Universal House of Justice in His own lifetime.”</w:t>
      </w:r>
      <w:r w:rsidRPr="004F2F3D">
        <w:t xml:space="preserve">  The Master described the requirements </w:t>
      </w:r>
      <w:r w:rsidR="00A761B4" w:rsidRPr="004F2F3D">
        <w:t xml:space="preserve">necessary </w:t>
      </w:r>
      <w:r w:rsidRPr="004F2F3D">
        <w:t>for its formation, which did not include the establishment of a religious court:</w:t>
      </w:r>
    </w:p>
    <w:p w14:paraId="781C9C38" w14:textId="77777777" w:rsidR="003631C5" w:rsidRPr="004F2F3D" w:rsidRDefault="003631C5" w:rsidP="003631C5">
      <w:pPr>
        <w:pStyle w:val="BWCBodyText"/>
      </w:pPr>
    </w:p>
    <w:p w14:paraId="7CA218C9" w14:textId="77777777" w:rsidR="00751D1C" w:rsidRDefault="003631C5" w:rsidP="00126153">
      <w:pPr>
        <w:pStyle w:val="BWCQuote"/>
        <w:ind w:firstLine="576"/>
      </w:pPr>
      <w:r w:rsidRPr="00427678">
        <w:t xml:space="preserve">The Supreme House of Justice should be elected according to the system followed in the election of the parliaments of Europe.  </w:t>
      </w:r>
      <w:r w:rsidR="00A02BC3" w:rsidRPr="00427678">
        <w:t>And when the countries would be </w:t>
      </w:r>
      <w:r w:rsidR="00427678" w:rsidRPr="00427678">
        <w:t>guided</w:t>
      </w:r>
      <w:r w:rsidRPr="00427678">
        <w:t xml:space="preserve"> the Houses of Justice of the various countries would elect</w:t>
      </w:r>
      <w:r w:rsidR="00427678">
        <w:t xml:space="preserve"> the Supreme House of Justice.</w:t>
      </w:r>
    </w:p>
    <w:p w14:paraId="719DCE61" w14:textId="77777777" w:rsidR="00D652C8" w:rsidRDefault="00D652C8" w:rsidP="00126153">
      <w:pPr>
        <w:pStyle w:val="BWCQuote"/>
        <w:ind w:firstLine="576"/>
      </w:pPr>
    </w:p>
    <w:p w14:paraId="4E0346B7" w14:textId="77777777" w:rsidR="003631C5" w:rsidRPr="00427678" w:rsidRDefault="003631C5" w:rsidP="00D652C8">
      <w:pPr>
        <w:pStyle w:val="BWCQuote"/>
        <w:ind w:firstLine="576"/>
      </w:pPr>
      <w:r w:rsidRPr="00427678">
        <w:t>At whatever time all the beloved of Go</w:t>
      </w:r>
      <w:r w:rsidR="00A02BC3" w:rsidRPr="00427678">
        <w:t>d in each country appoint their</w:t>
      </w:r>
      <w:r w:rsidR="00544208">
        <w:t xml:space="preserve"> </w:t>
      </w:r>
      <w:r w:rsidRPr="00427678">
        <w:t>delegates, and these in turn elect their representatives, and these representatives elect a body, that body shall be regarded as the Supreme House of Justice.</w:t>
      </w:r>
    </w:p>
    <w:p w14:paraId="6EBCAE79" w14:textId="77777777" w:rsidR="00D2118C" w:rsidRDefault="00D2118C" w:rsidP="009D56CA">
      <w:pPr>
        <w:pStyle w:val="BWCQuote"/>
        <w:ind w:right="503" w:firstLine="576"/>
      </w:pPr>
    </w:p>
    <w:p w14:paraId="577E498C" w14:textId="6EF81F68" w:rsidR="00C2446F" w:rsidRDefault="003631C5" w:rsidP="00577F2F">
      <w:pPr>
        <w:pStyle w:val="BWCQuote"/>
        <w:ind w:right="503" w:firstLine="576"/>
      </w:pPr>
      <w:r w:rsidRPr="00427678">
        <w:t>The establishment of that House is not depen</w:t>
      </w:r>
      <w:r w:rsidR="00126153" w:rsidRPr="00427678">
        <w:t>dent upon the conversion of all </w:t>
      </w:r>
      <w:r w:rsidRPr="00427678">
        <w:t>the nations of the world.  For example, if conditions were favourable and no disturbances would be caused, the friends in Persia would elect their re</w:t>
      </w:r>
      <w:r w:rsidR="00A02BC3" w:rsidRPr="00427678">
        <w:t>presentatives, and likewise the </w:t>
      </w:r>
      <w:r w:rsidRPr="00427678">
        <w:t>friends in America, in India, and other areas would also elect their representatives, and these would elect a House of Justice.  That House of Justice would be the Supreme House of Justice.  That is all</w:t>
      </w:r>
      <w:r w:rsidR="00577F2F">
        <w:t xml:space="preserve">.  </w:t>
      </w:r>
    </w:p>
    <w:p w14:paraId="22D867C9" w14:textId="77777777" w:rsidR="00D652C8" w:rsidRPr="004F2F3D" w:rsidRDefault="00D652C8" w:rsidP="00D652C8">
      <w:pPr>
        <w:pStyle w:val="BWCBodyText"/>
      </w:pPr>
    </w:p>
    <w:p w14:paraId="63126162" w14:textId="77777777" w:rsidR="003631C5" w:rsidRPr="004F2F3D" w:rsidRDefault="003631C5" w:rsidP="00C2446F">
      <w:pPr>
        <w:pStyle w:val="BWCBodyText"/>
      </w:pPr>
      <w:r w:rsidRPr="004F2F3D">
        <w:t>Over the thirty-six years of his ministry, as he guided the Bahá’í</w:t>
      </w:r>
      <w:r w:rsidR="003A34AA">
        <w:t xml:space="preserve"> world, striving to lay the </w:t>
      </w:r>
      <w:r w:rsidRPr="004F2F3D">
        <w:t xml:space="preserve">foundations of the Administrative Order, Shoghi Effendi outlined specific developmental steps to be taken, which were intended to lead to the eventual establishment of the Universal House of Justice.  The accomplishment of some depended largely on the exertions of the believers themselves—an increase in the number of Local and National Spiritual Assemblies, the appointment of the International Bahá’í Council and its evolution into an elected body.  Others, however, were subject to the forces operating in society and, no </w:t>
      </w:r>
      <w:r w:rsidR="00A02BC3" w:rsidRPr="004F2F3D">
        <w:t>matter what the efforts made by </w:t>
      </w:r>
      <w:r w:rsidRPr="004F2F3D">
        <w:t>the Bahá’í commun</w:t>
      </w:r>
      <w:r w:rsidR="00FF54B1" w:rsidRPr="004F2F3D">
        <w:t>ity, could not be accomplished.</w:t>
      </w:r>
    </w:p>
    <w:p w14:paraId="490EBA37" w14:textId="22213BD6" w:rsidR="003631C5" w:rsidRPr="004F2F3D" w:rsidRDefault="003631C5" w:rsidP="000C16EB">
      <w:pPr>
        <w:pStyle w:val="BWCBodyText"/>
      </w:pPr>
      <w:r w:rsidRPr="004F2F3D">
        <w:lastRenderedPageBreak/>
        <w:t>In 1929, for</w:t>
      </w:r>
      <w:r w:rsidR="0096489A" w:rsidRPr="004F2F3D">
        <w:t xml:space="preserve"> instance, the Guardian stated,</w:t>
      </w:r>
      <w:r w:rsidRPr="004F2F3D">
        <w:t xml:space="preserve"> “given favor</w:t>
      </w:r>
      <w:r w:rsidR="00A02BC3" w:rsidRPr="004F2F3D">
        <w:t>able circumstances, under which </w:t>
      </w:r>
      <w:r w:rsidRPr="004F2F3D">
        <w:t>the Bahá’ís of Persia and of the adjoining countries under</w:t>
      </w:r>
      <w:r w:rsidR="00C5627E">
        <w:t xml:space="preserve"> Soviet rule</w:t>
      </w:r>
      <w:r w:rsidR="00A02BC3" w:rsidRPr="004F2F3D">
        <w:t xml:space="preserve"> may be enabled to </w:t>
      </w:r>
      <w:r w:rsidRPr="004F2F3D">
        <w:t xml:space="preserve">elect their national representatives </w:t>
      </w:r>
      <w:r w:rsidR="000C16EB">
        <w:t>…</w:t>
      </w:r>
      <w:r w:rsidRPr="004F2F3D">
        <w:t xml:space="preserve"> the only remaining obstacle in the way of the definite formation of the International House of Justice will have been removed.”  Later, following the expulsion of Bahá’ís</w:t>
      </w:r>
      <w:r w:rsidRPr="004F2F3D">
        <w:rPr>
          <w:b/>
          <w:bCs/>
        </w:rPr>
        <w:t xml:space="preserve"> </w:t>
      </w:r>
      <w:r w:rsidRPr="004F2F3D">
        <w:t>from Russia by the a</w:t>
      </w:r>
      <w:r w:rsidR="00C5627E">
        <w:t>uthorities, a letter written on </w:t>
      </w:r>
      <w:r w:rsidRPr="004F2F3D">
        <w:t>his be</w:t>
      </w:r>
      <w:r w:rsidR="000C1F9F" w:rsidRPr="004F2F3D">
        <w:t>half explained,</w:t>
      </w:r>
      <w:r w:rsidR="00A02BC3" w:rsidRPr="004F2F3D">
        <w:t xml:space="preserve"> “At </w:t>
      </w:r>
      <w:r w:rsidRPr="004F2F3D">
        <w:t>the time he referred to Russia there were Bahá’ís there, now the Community has practically ceased to exist; therefore the formation of the International House of Justice ca</w:t>
      </w:r>
      <w:r w:rsidR="00A02BC3" w:rsidRPr="004F2F3D">
        <w:t>nnot depend on a </w:t>
      </w:r>
      <w:r w:rsidRPr="004F2F3D">
        <w:t>Russian National Spiritual Assembly.”</w:t>
      </w:r>
    </w:p>
    <w:p w14:paraId="550AB834" w14:textId="77777777" w:rsidR="003631C5" w:rsidRPr="004F2F3D" w:rsidRDefault="003631C5" w:rsidP="003631C5">
      <w:pPr>
        <w:pStyle w:val="BWCBodyText"/>
      </w:pPr>
    </w:p>
    <w:p w14:paraId="17499622" w14:textId="77777777" w:rsidR="003631C5" w:rsidRPr="00D2118C" w:rsidRDefault="00D2118C" w:rsidP="000C16EB">
      <w:pPr>
        <w:pStyle w:val="BWCBodyText"/>
      </w:pPr>
      <w:r w:rsidRPr="00D2118C">
        <w:t>In the same way, goals were specified by Shoghi Effendi for the establishment of Bahá’í courts, including national courts in certain countries in Asia and, as a step in the development of</w:t>
      </w:r>
      <w:r w:rsidR="000C16EB">
        <w:t> </w:t>
      </w:r>
      <w:r w:rsidRPr="00D2118C">
        <w:t>the International Bahá’í Council, the precursor to the Universal House of Justice, a court in the Holy Land.  Recognition by the Egyptian government of the National Spiritual Assembly as an independent Bahá’í court was sought as far back as 1929.  Over time, changing conditions rendered the formation of such religious courts impossible.  As the Hands of the Cause of God commented in 1959 in calling for the election of the International Bahá’í Council and the eventual establishment of the House of Justice,</w:t>
      </w:r>
    </w:p>
    <w:p w14:paraId="7D1157C3" w14:textId="77777777" w:rsidR="003631C5" w:rsidRPr="004F2F3D" w:rsidRDefault="003631C5" w:rsidP="003631C5">
      <w:pPr>
        <w:pStyle w:val="BWCBodyText"/>
      </w:pPr>
    </w:p>
    <w:p w14:paraId="1D60C3A3" w14:textId="70013916" w:rsidR="003631C5" w:rsidRPr="004F2F3D" w:rsidRDefault="003631C5" w:rsidP="003378E3">
      <w:pPr>
        <w:pStyle w:val="BWCQuote"/>
        <w:ind w:firstLine="576"/>
      </w:pPr>
      <w:r w:rsidRPr="004F2F3D">
        <w:t>We wish to assure the believers that every eff</w:t>
      </w:r>
      <w:r w:rsidR="003378E3">
        <w:t>ort will be made to establish a </w:t>
      </w:r>
      <w:r w:rsidRPr="004F2F3D">
        <w:t>Bahá’í Court in the Holy Land prior to the date set for this elec</w:t>
      </w:r>
      <w:r w:rsidR="00A02BC3" w:rsidRPr="004F2F3D">
        <w:t>tion.</w:t>
      </w:r>
      <w:r w:rsidR="000C16EB">
        <w:t xml:space="preserve"> </w:t>
      </w:r>
      <w:r w:rsidR="00A02BC3" w:rsidRPr="004F2F3D">
        <w:t xml:space="preserve"> We should however bear in </w:t>
      </w:r>
      <w:r w:rsidRPr="004F2F3D">
        <w:t>mind that the Guardian himself clea</w:t>
      </w:r>
      <w:r w:rsidR="003378E3">
        <w:t>rly indicated this goal, due to </w:t>
      </w:r>
      <w:r w:rsidRPr="004F2F3D">
        <w:t>the strong trend towards the secularization of Relig</w:t>
      </w:r>
      <w:r w:rsidR="003378E3">
        <w:t>ious Courts in this part of the </w:t>
      </w:r>
      <w:r w:rsidRPr="004F2F3D">
        <w:t xml:space="preserve">world, might not </w:t>
      </w:r>
      <w:r w:rsidRPr="003378E3">
        <w:t>be achieved.</w:t>
      </w:r>
    </w:p>
    <w:p w14:paraId="243DF7FE" w14:textId="77777777" w:rsidR="003631C5" w:rsidRPr="004F2F3D" w:rsidRDefault="003631C5" w:rsidP="003631C5">
      <w:pPr>
        <w:pStyle w:val="BWCBodyText"/>
      </w:pPr>
    </w:p>
    <w:p w14:paraId="785F9274" w14:textId="77777777" w:rsidR="003631C5" w:rsidRPr="004F2F3D" w:rsidRDefault="003631C5" w:rsidP="003631C5">
      <w:pPr>
        <w:pStyle w:val="BWCBodyText"/>
        <w:ind w:firstLine="0"/>
        <w:jc w:val="center"/>
      </w:pPr>
      <w:r w:rsidRPr="004F2F3D">
        <w:t>*</w:t>
      </w:r>
    </w:p>
    <w:p w14:paraId="05825B6A" w14:textId="77777777" w:rsidR="003631C5" w:rsidRPr="004F2F3D" w:rsidRDefault="003631C5" w:rsidP="003631C5">
      <w:pPr>
        <w:pStyle w:val="BWCBodyText"/>
      </w:pPr>
    </w:p>
    <w:p w14:paraId="74F99AF1" w14:textId="79F7F19B" w:rsidR="003631C5" w:rsidRPr="004F2F3D" w:rsidRDefault="003631C5" w:rsidP="00577F2F">
      <w:pPr>
        <w:pStyle w:val="BWCBodyText"/>
      </w:pPr>
      <w:r w:rsidRPr="004F2F3D">
        <w:t>Yet another question that has been raised concerns the d</w:t>
      </w:r>
      <w:r w:rsidR="00A02BC3" w:rsidRPr="004F2F3D">
        <w:t>ischarge by the Universal House </w:t>
      </w:r>
      <w:r w:rsidRPr="004F2F3D">
        <w:t xml:space="preserve">of Justice of certain functions previously performed by the Guardian.  With regard to Ḥuqúqu’lláh, ‘Abdu’l-Bahá has explained </w:t>
      </w:r>
      <w:r w:rsidRPr="00AF6D13">
        <w:t xml:space="preserve">that “Disposition of the </w:t>
      </w:r>
      <w:r w:rsidR="006858F3" w:rsidRPr="004F2F3D">
        <w:t>Ḥ</w:t>
      </w:r>
      <w:r w:rsidRPr="00AF6D13">
        <w:t>uqúq, wholly or partly, is permissible, but this should be done by permission of the authority in the Cause to whom all must turn.”  Likewise</w:t>
      </w:r>
      <w:r w:rsidR="009D56CA">
        <w:t>, the expulsion of </w:t>
      </w:r>
      <w:r w:rsidRPr="004F2F3D">
        <w:t xml:space="preserve">Covenant-breakers is an obligation exercised by the Head of the Faith in the context of </w:t>
      </w:r>
      <w:r w:rsidR="00285A9F">
        <w:t xml:space="preserve">the duty </w:t>
      </w:r>
      <w:r w:rsidRPr="004F2F3D">
        <w:t>to protect the Cau</w:t>
      </w:r>
      <w:r w:rsidR="00A02BC3" w:rsidRPr="004F2F3D">
        <w:t>se from those who would seek to </w:t>
      </w:r>
      <w:r w:rsidRPr="004F2F3D">
        <w:t xml:space="preserve">undermine its unity.  Shoghi Effendi, </w:t>
      </w:r>
      <w:r w:rsidR="00C2446F" w:rsidRPr="004F2F3D">
        <w:t>it</w:t>
      </w:r>
      <w:r w:rsidR="00285A9F">
        <w:t> </w:t>
      </w:r>
      <w:r w:rsidR="00C2446F" w:rsidRPr="004F2F3D">
        <w:t>is</w:t>
      </w:r>
      <w:r w:rsidRPr="004F2F3D">
        <w:t xml:space="preserve"> well know</w:t>
      </w:r>
      <w:r w:rsidR="00C2446F" w:rsidRPr="004F2F3D">
        <w:t>n</w:t>
      </w:r>
      <w:r w:rsidRPr="004F2F3D">
        <w:t>, was obliged to expel Covenant-breakers from the Faith at different points throughout his ministry, both before and after the appointment of the Hands of the Cause of God.  This responsibility now falls on the Universal House of Justice, as the centre of authority to whom all must turn.  The current procedures followed in this respect are outlined in the statement “The Institution of the Counsellors”.</w:t>
      </w:r>
    </w:p>
    <w:p w14:paraId="26B9FA8D" w14:textId="77777777" w:rsidR="003631C5" w:rsidRPr="004F2F3D" w:rsidRDefault="003631C5" w:rsidP="003631C5">
      <w:pPr>
        <w:pStyle w:val="BWCBodyText"/>
      </w:pPr>
    </w:p>
    <w:p w14:paraId="47CDB562" w14:textId="77777777" w:rsidR="003631C5" w:rsidRPr="004F2F3D" w:rsidRDefault="003631C5" w:rsidP="003631C5">
      <w:pPr>
        <w:pStyle w:val="BWCBodyText"/>
      </w:pPr>
      <w:r w:rsidRPr="004F2F3D">
        <w:t>In this con</w:t>
      </w:r>
      <w:r w:rsidR="0096489A" w:rsidRPr="004F2F3D">
        <w:t>nection it should be noted that</w:t>
      </w:r>
      <w:r w:rsidRPr="004F2F3D">
        <w:t xml:space="preserve"> after the passing of Shoghi Effendi, although overwhelmed with grief, the Bahá’í world maintained its unity during the tenuous period between his ministry and the election of the Universal House of </w:t>
      </w:r>
      <w:r w:rsidR="00A02BC3" w:rsidRPr="004F2F3D">
        <w:t>Justice.  The sole challenge to </w:t>
      </w:r>
      <w:r w:rsidRPr="004F2F3D">
        <w:t xml:space="preserve">its integrity appeared some two years after his death when Charles Mason Remey, who was at that time </w:t>
      </w:r>
      <w:r w:rsidRPr="004F2F3D">
        <w:rPr>
          <w:bCs/>
        </w:rPr>
        <w:t>one of the Hands of the Cause,</w:t>
      </w:r>
      <w:r w:rsidRPr="004F2F3D">
        <w:t xml:space="preserve"> laid claim to the Guardianship.  As you are aware, Remey asserted that his appointment in 1951 as president of the nascent International Bahá’í Council meant that he should automatically assume the position of head of the Universal House of Justice and was, therefore, the second Guardian.</w:t>
      </w:r>
    </w:p>
    <w:p w14:paraId="39B4595A" w14:textId="77777777" w:rsidR="00C2446F" w:rsidRPr="004F2F3D" w:rsidRDefault="00C2446F" w:rsidP="003631C5">
      <w:pPr>
        <w:pStyle w:val="BWCBodyText"/>
      </w:pPr>
    </w:p>
    <w:p w14:paraId="56D4A8FC" w14:textId="778A3DD1" w:rsidR="003631C5" w:rsidRPr="004F2F3D" w:rsidRDefault="003631C5" w:rsidP="005531CC">
      <w:pPr>
        <w:pStyle w:val="BWCBodyText"/>
        <w:ind w:right="-334"/>
      </w:pPr>
      <w:r w:rsidRPr="004F2F3D">
        <w:t>The absurdity of Remey’s claim is obvious and requires little elaboration.  In</w:t>
      </w:r>
      <w:r w:rsidR="00891DD0">
        <w:t xml:space="preserve"> 1957, he was </w:t>
      </w:r>
      <w:r w:rsidRPr="004F2F3D">
        <w:t>among the Hands of the Cause who gathered in the Holy Land to consider what course of action should be taken following the unexpected passing of the Guardia</w:t>
      </w:r>
      <w:r w:rsidR="00A02BC3" w:rsidRPr="004F2F3D">
        <w:t>n.  He personally affirmed that </w:t>
      </w:r>
      <w:r w:rsidRPr="004F2F3D">
        <w:t xml:space="preserve">Shoghi Effendi had appointed no successor, signing a document issued unanimously by the </w:t>
      </w:r>
      <w:r w:rsidRPr="004F2F3D">
        <w:lastRenderedPageBreak/>
        <w:t>Hands to this effect</w:t>
      </w:r>
      <w:r w:rsidRPr="004F2F3D">
        <w:rPr>
          <w:bCs/>
        </w:rPr>
        <w:t xml:space="preserve">.  As signatory to yet another such document, he agreed that the entire body of the Hands of the Cause would determine when and how the </w:t>
      </w:r>
      <w:r w:rsidRPr="00405DFD">
        <w:rPr>
          <w:bCs/>
        </w:rPr>
        <w:t>evolution of the International Bahá’í Council would culminate in the election of the House of Justice.</w:t>
      </w:r>
      <w:r w:rsidRPr="00405DFD">
        <w:t xml:space="preserve">  F</w:t>
      </w:r>
      <w:r w:rsidRPr="004F2F3D">
        <w:t>o</w:t>
      </w:r>
      <w:r w:rsidR="00891DD0">
        <w:t>r two years, as one of the nine </w:t>
      </w:r>
      <w:r w:rsidRPr="004F2F3D">
        <w:t>Hands designated to serve in the Holy Land, he participated in the consultations that guided the development of the Bahá’í comm</w:t>
      </w:r>
      <w:r w:rsidR="00A02BC3" w:rsidRPr="004F2F3D">
        <w:t>unity.  Then, without notice or </w:t>
      </w:r>
      <w:r w:rsidRPr="004F2F3D">
        <w:t>discussion with his fellow Hands, he claimed the station of Guardianship, lacking explicit appointment by Shoghi Effendi as specified in the Will and Testament</w:t>
      </w:r>
      <w:r w:rsidR="00891DD0">
        <w:t xml:space="preserve"> and in direct violation of the command of ‘Abdu’l-Bahá that no </w:t>
      </w:r>
      <w:r w:rsidRPr="004F2F3D">
        <w:t>one could make such a claim.  Exercising the authority conferred on them in accordance with ‘Abdu’l-Bahá’s Will, the Hands of the Cause expelled him from the Faith as a Covenant-breaker.</w:t>
      </w:r>
    </w:p>
    <w:p w14:paraId="3763BCD7" w14:textId="77777777" w:rsidR="003631C5" w:rsidRPr="004F2F3D" w:rsidRDefault="003631C5" w:rsidP="003631C5">
      <w:pPr>
        <w:pStyle w:val="BWCBodyText"/>
      </w:pPr>
    </w:p>
    <w:p w14:paraId="08505029" w14:textId="77777777" w:rsidR="003631C5" w:rsidRPr="004F2F3D" w:rsidRDefault="003631C5" w:rsidP="003631C5">
      <w:pPr>
        <w:pStyle w:val="BWCBodyText"/>
        <w:ind w:firstLine="0"/>
        <w:jc w:val="center"/>
      </w:pPr>
      <w:r w:rsidRPr="004F2F3D">
        <w:t>*</w:t>
      </w:r>
    </w:p>
    <w:p w14:paraId="0C1FF663" w14:textId="77777777" w:rsidR="003631C5" w:rsidRPr="004F2F3D" w:rsidRDefault="003631C5" w:rsidP="003631C5">
      <w:pPr>
        <w:pStyle w:val="BWCBodyText"/>
      </w:pPr>
    </w:p>
    <w:p w14:paraId="413BDE00" w14:textId="0D72712B" w:rsidR="003631C5" w:rsidRPr="004F2F3D" w:rsidRDefault="003631C5" w:rsidP="003631C5">
      <w:pPr>
        <w:pStyle w:val="BWCBodyText"/>
      </w:pPr>
      <w:r w:rsidRPr="004F2F3D">
        <w:t xml:space="preserve">In matters related to the Covenant, the friends must be firm and steadfast; they </w:t>
      </w:r>
      <w:r w:rsidR="00A02BC3" w:rsidRPr="004F2F3D">
        <w:t>should be </w:t>
      </w:r>
      <w:r w:rsidRPr="004F2F3D">
        <w:t>wary, lest the arguments put forward by those who sow seeds of doubt become the cause for confusion or lead to disputation and disunity.  Should questions arise that cannot be resolved, they should be placed immediately before the Universal House of Justice.  The friends must be especially careful to avoid being enticed by the whisperings of the remnants of the Covenant-breakers and their supporters, who seek to shake the believers’ faith</w:t>
      </w:r>
      <w:r w:rsidR="00603ABA" w:rsidRPr="004F2F3D">
        <w:t>.  Whereas in the past</w:t>
      </w:r>
      <w:r w:rsidRPr="004F2F3D">
        <w:t xml:space="preserve"> the violators of the Covenant sought to undermine the authority of Bahá’u’lláh, ‘Abdu’l-Bahá and Shoghi Effendi, today they </w:t>
      </w:r>
      <w:r w:rsidRPr="00AF4331">
        <w:t>challenge the Universal House of Justice.  Of particular concern are those who, as ‘Abdu’l-Bahá warns, “assert their firmness and steadfastness in the Covenant but when they come across responsive ears they secretly sow the seeds of suspicion.”</w:t>
      </w:r>
    </w:p>
    <w:p w14:paraId="30C07C05" w14:textId="77777777" w:rsidR="00751D1C" w:rsidRDefault="00751D1C" w:rsidP="00285A9F">
      <w:pPr>
        <w:pStyle w:val="BWCBodyText"/>
      </w:pPr>
    </w:p>
    <w:p w14:paraId="6362935F" w14:textId="77777777" w:rsidR="003631C5" w:rsidRPr="004F2F3D" w:rsidRDefault="003631C5" w:rsidP="00285A9F">
      <w:pPr>
        <w:pStyle w:val="BWCBodyText"/>
      </w:pPr>
      <w:r w:rsidRPr="004F2F3D">
        <w:t xml:space="preserve">Remey’s small band of associates, bedevilled by half a century </w:t>
      </w:r>
      <w:r w:rsidRPr="004F2F3D">
        <w:rPr>
          <w:bCs/>
        </w:rPr>
        <w:t>of infighting among competing factions,</w:t>
      </w:r>
      <w:r w:rsidR="003A34AA">
        <w:t xml:space="preserve"> have had negligible effect </w:t>
      </w:r>
      <w:r w:rsidRPr="004F2F3D">
        <w:t>on the progress of the Faith.  The flurry caused by their actions</w:t>
      </w:r>
      <w:r w:rsidR="00A02BC3" w:rsidRPr="004F2F3D">
        <w:t xml:space="preserve"> does nothing more than shake a </w:t>
      </w:r>
      <w:r w:rsidRPr="004F2F3D">
        <w:t xml:space="preserve">few lifeless twigs and leaves from the tree of the Cause.  Those who are naïve, </w:t>
      </w:r>
      <w:r w:rsidR="00A02BC3" w:rsidRPr="004F2F3D">
        <w:t>those who are </w:t>
      </w:r>
      <w:r w:rsidRPr="004F2F3D">
        <w:t>not deepened in the Teachings or not firm in the Covenant, th</w:t>
      </w:r>
      <w:r w:rsidR="003A34AA">
        <w:t>ose who are controlled by </w:t>
      </w:r>
      <w:r w:rsidR="00A02BC3" w:rsidRPr="004F2F3D">
        <w:t>their </w:t>
      </w:r>
      <w:r w:rsidRPr="004F2F3D">
        <w:t>egos and lust for leadership can be misled and fall away.  The friends are urged to protect themselves and their community by adhering strictly to the emphatic exhortations repeated throughout the Sacred Texts.  As ‘Abdu’l-Bahá states,</w:t>
      </w:r>
    </w:p>
    <w:p w14:paraId="57BC8F42" w14:textId="77777777" w:rsidR="003631C5" w:rsidRPr="004F2F3D" w:rsidRDefault="003631C5" w:rsidP="003631C5">
      <w:pPr>
        <w:pStyle w:val="BWCBodyText"/>
      </w:pPr>
    </w:p>
    <w:p w14:paraId="77D0B875" w14:textId="77777777" w:rsidR="003631C5" w:rsidRPr="004F2F3D" w:rsidRDefault="003631C5" w:rsidP="009B3582">
      <w:pPr>
        <w:pStyle w:val="BWCQuote"/>
      </w:pPr>
      <w:r w:rsidRPr="004F2F3D">
        <w:t>Unto the Most Holy Book every one must turn and all that is not expressly recorded therein must be referred to the Universal House of Justice.</w:t>
      </w:r>
      <w:r w:rsidR="00254FBA">
        <w:t xml:space="preserve"> </w:t>
      </w:r>
      <w:r w:rsidRPr="004F2F3D">
        <w:t xml:space="preserve"> That which this body, whether unanimously or by a majority doth carry, that is verily th</w:t>
      </w:r>
      <w:r w:rsidR="006D5E5D">
        <w:t>e Truth and the Purpose of God H</w:t>
      </w:r>
      <w:r w:rsidRPr="004F2F3D">
        <w:t xml:space="preserve">imself. </w:t>
      </w:r>
      <w:r w:rsidR="00254FBA">
        <w:t xml:space="preserve"> </w:t>
      </w:r>
      <w:r w:rsidRPr="004F2F3D">
        <w:t xml:space="preserve">Whoso doth deviate therefrom is verily of them that love discord, hath shown forth malice and turned away from the Lord of the Covenant. </w:t>
      </w:r>
      <w:r w:rsidR="00254FBA">
        <w:t xml:space="preserve"> </w:t>
      </w:r>
      <w:r w:rsidRPr="004F2F3D">
        <w:t>By this House is meant that Universal House of Justice which is to be elec</w:t>
      </w:r>
      <w:r w:rsidR="006D5E5D">
        <w:t>ted from all countries, that is</w:t>
      </w:r>
      <w:r w:rsidRPr="004F2F3D">
        <w:t xml:space="preserve"> from those parts in the East and West where the loved ones are to be</w:t>
      </w:r>
      <w:r w:rsidR="00A02BC3" w:rsidRPr="004F2F3D">
        <w:t> </w:t>
      </w:r>
      <w:r w:rsidRPr="004F2F3D">
        <w:t xml:space="preserve">found, after the manner of the customary elections in Western countries </w:t>
      </w:r>
      <w:r w:rsidR="006D5E5D">
        <w:t>such as those of England….</w:t>
      </w:r>
    </w:p>
    <w:p w14:paraId="1D414669" w14:textId="77777777" w:rsidR="00285A9F" w:rsidRDefault="00285A9F" w:rsidP="009B3582">
      <w:pPr>
        <w:pStyle w:val="BWCQuote"/>
        <w:ind w:firstLine="576"/>
      </w:pPr>
    </w:p>
    <w:p w14:paraId="6C36DED1" w14:textId="77777777" w:rsidR="003631C5" w:rsidRPr="004F2F3D" w:rsidRDefault="003631C5" w:rsidP="0043271A">
      <w:pPr>
        <w:pStyle w:val="BWCQuote"/>
        <w:ind w:right="458" w:firstLine="576"/>
      </w:pPr>
      <w:r w:rsidRPr="004F2F3D">
        <w:t>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w:t>
      </w:r>
      <w:r w:rsidR="009B3582" w:rsidRPr="004F2F3D">
        <w:t>all to mind with tenderness the </w:t>
      </w:r>
      <w:r w:rsidRPr="004F2F3D">
        <w:t xml:space="preserve">trials of His Holiness, the Exalted One, and show </w:t>
      </w:r>
      <w:r w:rsidR="000A0703">
        <w:t xml:space="preserve">your fidelity to the Ever-Blest </w:t>
      </w:r>
      <w:r w:rsidRPr="004F2F3D">
        <w:t>Beauty.  The utmost endeavo</w:t>
      </w:r>
      <w:r w:rsidR="0043271A">
        <w:t>u</w:t>
      </w:r>
      <w:r w:rsidRPr="004F2F3D">
        <w:t>r must be exerted lest all these woes, trials and afflictions, all this pure and sacred blood that hath been shed so profusely in the Path of God</w:t>
      </w:r>
      <w:r w:rsidR="006D5E5D">
        <w:t>, may prove to be in vain….</w:t>
      </w:r>
    </w:p>
    <w:p w14:paraId="100EEC5E" w14:textId="77777777" w:rsidR="00285A9F" w:rsidRDefault="00285A9F" w:rsidP="009B3582">
      <w:pPr>
        <w:pStyle w:val="BWCQuote"/>
        <w:ind w:firstLine="576"/>
      </w:pPr>
    </w:p>
    <w:p w14:paraId="278E901E" w14:textId="7A6C23DB" w:rsidR="003631C5" w:rsidRPr="004F2F3D" w:rsidRDefault="003631C5" w:rsidP="0043271A">
      <w:pPr>
        <w:pStyle w:val="BWCQuote"/>
        <w:ind w:right="476" w:firstLine="576"/>
      </w:pPr>
      <w:r w:rsidRPr="004F2F3D">
        <w:lastRenderedPageBreak/>
        <w:t xml:space="preserve">O ye beloved of the Lord! </w:t>
      </w:r>
      <w:r w:rsidR="00254FBA">
        <w:t xml:space="preserve"> </w:t>
      </w:r>
      <w:r w:rsidRPr="004F2F3D">
        <w:t>Strive with all your heart to shield the Cause of God from the onslaught of the insincere, for souls such as these cause the straight to become crooked and all benevolent efforts to produce contrary results.</w:t>
      </w:r>
    </w:p>
    <w:p w14:paraId="233B8AB1" w14:textId="77777777" w:rsidR="003631C5" w:rsidRPr="004F2F3D" w:rsidRDefault="003631C5" w:rsidP="009B3582">
      <w:pPr>
        <w:pStyle w:val="BWCQuote"/>
      </w:pPr>
    </w:p>
    <w:p w14:paraId="3E448031" w14:textId="1FD913DA" w:rsidR="003631C5" w:rsidRPr="00285A9F" w:rsidRDefault="00285A9F" w:rsidP="00D652C8">
      <w:pPr>
        <w:pStyle w:val="BWCBodyText"/>
        <w:ind w:right="-73"/>
      </w:pPr>
      <w:r w:rsidRPr="00285A9F">
        <w:t>The believers in the Cradle of the Faith, who have withstood for more than a century the onslaught of government and clergy, who triumphed over the perils posed by the rebellions of Azal and Muḥammad</w:t>
      </w:r>
      <w:r w:rsidR="002F0481">
        <w:t>-</w:t>
      </w:r>
      <w:r w:rsidRPr="00285A9F">
        <w:t>‘Alí, who severed themselves from those who opposed Shoghi Effendi, will easily discount the spurious and ridiculous arguments of those few individuals who vie among themselves to exploit Remey’s deviation as a pretext for attracting a handful of personal followers.  Be assured of our supplications at the Holy Threshold on behalf of the beloved friends everywhere in that sacred land.</w:t>
      </w:r>
    </w:p>
    <w:p w14:paraId="64F6B41C" w14:textId="77777777" w:rsidR="003B64EA" w:rsidRDefault="003B64EA">
      <w:pPr>
        <w:pStyle w:val="BWCClosing"/>
      </w:pPr>
      <w:r w:rsidRPr="004F2F3D">
        <w:t>With loving Bahá’í greetings,</w:t>
      </w:r>
    </w:p>
    <w:p w14:paraId="36D979BF" w14:textId="3CCE8369" w:rsidR="009D40E4" w:rsidRDefault="000C0491" w:rsidP="000C0491">
      <w:pPr>
        <w:pStyle w:val="BWCSignature"/>
      </w:pPr>
      <w:r>
        <w:t>[signed:  The Universal House of Justice]</w:t>
      </w:r>
    </w:p>
    <w:p w14:paraId="0D04BFB3" w14:textId="77777777" w:rsidR="006B16F0" w:rsidRPr="006B16F0" w:rsidRDefault="006B16F0" w:rsidP="006B16F0">
      <w:pPr>
        <w:keepNext/>
        <w:pBdr>
          <w:bottom w:val="single" w:sz="6" w:space="1" w:color="auto"/>
        </w:pBdr>
        <w:spacing w:before="300" w:after="40"/>
        <w:rPr>
          <w:rFonts w:ascii="Arial Unicode MS" w:hAnsi="Arial Unicode MS"/>
          <w:w w:val="100"/>
          <w:kern w:val="0"/>
          <w:sz w:val="22"/>
          <w:lang w:val="en-US"/>
        </w:rPr>
      </w:pPr>
    </w:p>
    <w:p w14:paraId="42BDF8F6" w14:textId="0366B825" w:rsidR="006B16F0" w:rsidRPr="006B16F0" w:rsidRDefault="006B16F0" w:rsidP="006B16F0">
      <w:r w:rsidRPr="006B16F0">
        <w:rPr>
          <w:rFonts w:hint="eastAsia"/>
          <w:sz w:val="12"/>
          <w:szCs w:val="12"/>
        </w:rPr>
        <w:t xml:space="preserve">This document has been downloaded from the </w:t>
      </w:r>
      <w:hyperlink r:id="rId7" w:history="1">
        <w:r w:rsidRPr="006B16F0">
          <w:rPr>
            <w:rStyle w:val="Hyperlink"/>
            <w:rFonts w:hint="eastAsia"/>
            <w:color w:val="auto"/>
            <w:sz w:val="12"/>
            <w:szCs w:val="12"/>
          </w:rPr>
          <w:t>Bahá’í Reference Library</w:t>
        </w:r>
      </w:hyperlink>
      <w:r w:rsidRPr="006B16F0">
        <w:rPr>
          <w:rFonts w:hint="eastAsia"/>
          <w:sz w:val="12"/>
          <w:szCs w:val="12"/>
        </w:rPr>
        <w:t xml:space="preserve">. You are free to use its content subject to the terms of use found at </w:t>
      </w:r>
      <w:hyperlink r:id="rId8" w:history="1">
        <w:r w:rsidRPr="006B16F0">
          <w:rPr>
            <w:rStyle w:val="Hyperlink"/>
            <w:rFonts w:hint="eastAsia"/>
            <w:color w:val="auto"/>
            <w:sz w:val="12"/>
            <w:szCs w:val="12"/>
          </w:rPr>
          <w:t>www.bahai.org/legal</w:t>
        </w:r>
      </w:hyperlink>
      <w:bookmarkStart w:id="0" w:name="copyright-terms-use"/>
      <w:bookmarkEnd w:id="0"/>
    </w:p>
    <w:sectPr w:rsidR="006B16F0" w:rsidRPr="006B16F0" w:rsidSect="00C018D5">
      <w:headerReference w:type="default" r:id="rId9"/>
      <w:pgSz w:w="11906" w:h="16838" w:code="9"/>
      <w:pgMar w:top="1440" w:right="1440" w:bottom="1008"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9E3B" w14:textId="77777777" w:rsidR="00CF6391" w:rsidRDefault="00CF6391">
      <w:r>
        <w:separator/>
      </w:r>
    </w:p>
  </w:endnote>
  <w:endnote w:type="continuationSeparator" w:id="0">
    <w:p w14:paraId="5DEFEA8C" w14:textId="77777777" w:rsidR="00CF6391" w:rsidRDefault="00C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966C" w14:textId="77777777" w:rsidR="00CF6391" w:rsidRDefault="00CF6391">
      <w:r>
        <w:separator/>
      </w:r>
    </w:p>
  </w:footnote>
  <w:footnote w:type="continuationSeparator" w:id="0">
    <w:p w14:paraId="34659DD6" w14:textId="77777777" w:rsidR="00CF6391" w:rsidRDefault="00CF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C018D5" w14:paraId="7A4693C2" w14:textId="77777777">
      <w:tc>
        <w:tcPr>
          <w:tcW w:w="5580" w:type="dxa"/>
        </w:tcPr>
        <w:p w14:paraId="3312E09B" w14:textId="77777777" w:rsidR="00C018D5" w:rsidRDefault="00C018D5">
          <w:pPr>
            <w:pStyle w:val="BWCNormal"/>
          </w:pPr>
          <w:r>
            <w:t>The Friends in Iran</w:t>
          </w:r>
        </w:p>
      </w:tc>
      <w:tc>
        <w:tcPr>
          <w:tcW w:w="3447" w:type="dxa"/>
        </w:tcPr>
        <w:p w14:paraId="763F6D07" w14:textId="77777777" w:rsidR="00C018D5" w:rsidRDefault="00C018D5">
          <w:pPr>
            <w:pStyle w:val="BWCNormal"/>
            <w:jc w:val="right"/>
          </w:pPr>
          <w:r>
            <w:t>18 February 2008</w:t>
          </w:r>
          <w:r>
            <w:rPr>
              <w:rStyle w:val="PageNumber"/>
            </w:rPr>
            <w:br/>
            <w:t xml:space="preserve">Page </w:t>
          </w:r>
          <w:r>
            <w:rPr>
              <w:rStyle w:val="PageNumber"/>
            </w:rPr>
            <w:fldChar w:fldCharType="begin"/>
          </w:r>
          <w:r>
            <w:rPr>
              <w:rStyle w:val="PageNumber"/>
            </w:rPr>
            <w:instrText xml:space="preserve"> PAGE </w:instrText>
          </w:r>
          <w:r>
            <w:rPr>
              <w:rStyle w:val="PageNumber"/>
            </w:rPr>
            <w:fldChar w:fldCharType="separate"/>
          </w:r>
          <w:r w:rsidR="000E698F">
            <w:rPr>
              <w:rStyle w:val="PageNumber"/>
              <w:noProof/>
            </w:rPr>
            <w:t>2</w:t>
          </w:r>
          <w:r>
            <w:rPr>
              <w:rStyle w:val="PageNumber"/>
            </w:rPr>
            <w:fldChar w:fldCharType="end"/>
          </w:r>
        </w:p>
      </w:tc>
    </w:tr>
  </w:tbl>
  <w:p w14:paraId="009F812D" w14:textId="77777777" w:rsidR="00C018D5" w:rsidRDefault="00C018D5">
    <w:pPr>
      <w:pStyle w:val="BWCNormal"/>
    </w:pPr>
  </w:p>
  <w:p w14:paraId="022B4D07" w14:textId="77777777" w:rsidR="00C018D5" w:rsidRDefault="00C018D5">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291862104">
    <w:abstractNumId w:val="13"/>
  </w:num>
  <w:num w:numId="2" w16cid:durableId="198207186">
    <w:abstractNumId w:val="6"/>
  </w:num>
  <w:num w:numId="3" w16cid:durableId="1861237641">
    <w:abstractNumId w:val="7"/>
  </w:num>
  <w:num w:numId="4" w16cid:durableId="1555311110">
    <w:abstractNumId w:val="4"/>
  </w:num>
  <w:num w:numId="5" w16cid:durableId="1808812910">
    <w:abstractNumId w:val="14"/>
  </w:num>
  <w:num w:numId="6" w16cid:durableId="530873481">
    <w:abstractNumId w:val="0"/>
  </w:num>
  <w:num w:numId="7" w16cid:durableId="1729450614">
    <w:abstractNumId w:val="1"/>
  </w:num>
  <w:num w:numId="8" w16cid:durableId="1080325099">
    <w:abstractNumId w:val="8"/>
  </w:num>
  <w:num w:numId="9" w16cid:durableId="214394859">
    <w:abstractNumId w:val="3"/>
  </w:num>
  <w:num w:numId="10" w16cid:durableId="1269196851">
    <w:abstractNumId w:val="11"/>
  </w:num>
  <w:num w:numId="11" w16cid:durableId="1953435233">
    <w:abstractNumId w:val="9"/>
  </w:num>
  <w:num w:numId="12" w16cid:durableId="1385060401">
    <w:abstractNumId w:val="9"/>
  </w:num>
  <w:num w:numId="13" w16cid:durableId="1326741272">
    <w:abstractNumId w:val="11"/>
  </w:num>
  <w:num w:numId="14" w16cid:durableId="176383680">
    <w:abstractNumId w:val="12"/>
  </w:num>
  <w:num w:numId="15" w16cid:durableId="727921761">
    <w:abstractNumId w:val="10"/>
  </w:num>
  <w:num w:numId="16" w16cid:durableId="174732410">
    <w:abstractNumId w:val="10"/>
  </w:num>
  <w:num w:numId="17" w16cid:durableId="151263355">
    <w:abstractNumId w:val="2"/>
  </w:num>
  <w:num w:numId="18" w16cid:durableId="605309092">
    <w:abstractNumId w:val="5"/>
  </w:num>
  <w:num w:numId="19" w16cid:durableId="170874479">
    <w:abstractNumId w:val="2"/>
  </w:num>
  <w:num w:numId="20" w16cid:durableId="453015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23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C5"/>
    <w:rsid w:val="0003220F"/>
    <w:rsid w:val="0004537B"/>
    <w:rsid w:val="0005116E"/>
    <w:rsid w:val="0005559D"/>
    <w:rsid w:val="00063223"/>
    <w:rsid w:val="00065E36"/>
    <w:rsid w:val="00077FB5"/>
    <w:rsid w:val="000813D7"/>
    <w:rsid w:val="000A0703"/>
    <w:rsid w:val="000A17AE"/>
    <w:rsid w:val="000B189C"/>
    <w:rsid w:val="000C0491"/>
    <w:rsid w:val="000C16EB"/>
    <w:rsid w:val="000C1F9F"/>
    <w:rsid w:val="000D0670"/>
    <w:rsid w:val="000D6E09"/>
    <w:rsid w:val="000E5F3E"/>
    <w:rsid w:val="000E698F"/>
    <w:rsid w:val="00112505"/>
    <w:rsid w:val="001153A4"/>
    <w:rsid w:val="00126153"/>
    <w:rsid w:val="00126D10"/>
    <w:rsid w:val="00126D4E"/>
    <w:rsid w:val="001278A9"/>
    <w:rsid w:val="00173443"/>
    <w:rsid w:val="001A6F3D"/>
    <w:rsid w:val="001B0FAC"/>
    <w:rsid w:val="001C2D72"/>
    <w:rsid w:val="001D46D8"/>
    <w:rsid w:val="001D4CED"/>
    <w:rsid w:val="001F0C3D"/>
    <w:rsid w:val="00202EF0"/>
    <w:rsid w:val="00211A1D"/>
    <w:rsid w:val="0023218D"/>
    <w:rsid w:val="00235250"/>
    <w:rsid w:val="00237F6A"/>
    <w:rsid w:val="002445F5"/>
    <w:rsid w:val="00254FBA"/>
    <w:rsid w:val="00264C8F"/>
    <w:rsid w:val="002834DB"/>
    <w:rsid w:val="002842E8"/>
    <w:rsid w:val="00285A9F"/>
    <w:rsid w:val="002919EF"/>
    <w:rsid w:val="002C08C6"/>
    <w:rsid w:val="002D1576"/>
    <w:rsid w:val="002D47A7"/>
    <w:rsid w:val="002F0481"/>
    <w:rsid w:val="002F1D0F"/>
    <w:rsid w:val="00302308"/>
    <w:rsid w:val="00303F59"/>
    <w:rsid w:val="003041B3"/>
    <w:rsid w:val="003378E3"/>
    <w:rsid w:val="00341ED0"/>
    <w:rsid w:val="003631C5"/>
    <w:rsid w:val="003856CC"/>
    <w:rsid w:val="003949B0"/>
    <w:rsid w:val="003A3089"/>
    <w:rsid w:val="003A309A"/>
    <w:rsid w:val="003A34AA"/>
    <w:rsid w:val="003A7039"/>
    <w:rsid w:val="003B13F5"/>
    <w:rsid w:val="003B15F3"/>
    <w:rsid w:val="003B64EA"/>
    <w:rsid w:val="003D4D16"/>
    <w:rsid w:val="00405DFD"/>
    <w:rsid w:val="00405E27"/>
    <w:rsid w:val="0042731A"/>
    <w:rsid w:val="00427678"/>
    <w:rsid w:val="0043271A"/>
    <w:rsid w:val="00482A3F"/>
    <w:rsid w:val="00486BF1"/>
    <w:rsid w:val="0049214D"/>
    <w:rsid w:val="00494CF2"/>
    <w:rsid w:val="004F2F3D"/>
    <w:rsid w:val="004F5B70"/>
    <w:rsid w:val="005217B8"/>
    <w:rsid w:val="00531633"/>
    <w:rsid w:val="00544208"/>
    <w:rsid w:val="005531CC"/>
    <w:rsid w:val="00577F2F"/>
    <w:rsid w:val="005915CA"/>
    <w:rsid w:val="005A2058"/>
    <w:rsid w:val="005A4C1C"/>
    <w:rsid w:val="005A7CB4"/>
    <w:rsid w:val="005B3E14"/>
    <w:rsid w:val="005D5BCC"/>
    <w:rsid w:val="005E1FD1"/>
    <w:rsid w:val="005E5475"/>
    <w:rsid w:val="00603ABA"/>
    <w:rsid w:val="0061033A"/>
    <w:rsid w:val="00677774"/>
    <w:rsid w:val="006858F3"/>
    <w:rsid w:val="00695B0B"/>
    <w:rsid w:val="006B16F0"/>
    <w:rsid w:val="006B6BF7"/>
    <w:rsid w:val="006C4145"/>
    <w:rsid w:val="006C48D4"/>
    <w:rsid w:val="006D21B2"/>
    <w:rsid w:val="006D41B8"/>
    <w:rsid w:val="006D5E5D"/>
    <w:rsid w:val="006E6CCB"/>
    <w:rsid w:val="006E7EEB"/>
    <w:rsid w:val="006F06C5"/>
    <w:rsid w:val="00701A6D"/>
    <w:rsid w:val="0070461B"/>
    <w:rsid w:val="007104F7"/>
    <w:rsid w:val="00710F3F"/>
    <w:rsid w:val="00751D1C"/>
    <w:rsid w:val="007550AA"/>
    <w:rsid w:val="0076590E"/>
    <w:rsid w:val="00765E9A"/>
    <w:rsid w:val="00771D6D"/>
    <w:rsid w:val="00786532"/>
    <w:rsid w:val="00787508"/>
    <w:rsid w:val="00793B8C"/>
    <w:rsid w:val="007A4406"/>
    <w:rsid w:val="007B7DA2"/>
    <w:rsid w:val="007D2063"/>
    <w:rsid w:val="007D3FDB"/>
    <w:rsid w:val="007F0F3F"/>
    <w:rsid w:val="0080381B"/>
    <w:rsid w:val="00891DD0"/>
    <w:rsid w:val="008B1731"/>
    <w:rsid w:val="008B62DE"/>
    <w:rsid w:val="008C28C9"/>
    <w:rsid w:val="008D2C54"/>
    <w:rsid w:val="008F12CC"/>
    <w:rsid w:val="00903347"/>
    <w:rsid w:val="00924136"/>
    <w:rsid w:val="00955651"/>
    <w:rsid w:val="00963332"/>
    <w:rsid w:val="0096489A"/>
    <w:rsid w:val="00972B56"/>
    <w:rsid w:val="00983928"/>
    <w:rsid w:val="009871DC"/>
    <w:rsid w:val="00987B7E"/>
    <w:rsid w:val="00997A77"/>
    <w:rsid w:val="009A544F"/>
    <w:rsid w:val="009B3582"/>
    <w:rsid w:val="009D01FA"/>
    <w:rsid w:val="009D40E4"/>
    <w:rsid w:val="009D56CA"/>
    <w:rsid w:val="00A02BC3"/>
    <w:rsid w:val="00A10A89"/>
    <w:rsid w:val="00A24414"/>
    <w:rsid w:val="00A377A4"/>
    <w:rsid w:val="00A50F13"/>
    <w:rsid w:val="00A54B9B"/>
    <w:rsid w:val="00A761B4"/>
    <w:rsid w:val="00A8301F"/>
    <w:rsid w:val="00A93CFB"/>
    <w:rsid w:val="00A9563B"/>
    <w:rsid w:val="00AA55D7"/>
    <w:rsid w:val="00AD1606"/>
    <w:rsid w:val="00AE3FA7"/>
    <w:rsid w:val="00AF4331"/>
    <w:rsid w:val="00AF6D13"/>
    <w:rsid w:val="00B3316F"/>
    <w:rsid w:val="00B42AE1"/>
    <w:rsid w:val="00B62B17"/>
    <w:rsid w:val="00B909D0"/>
    <w:rsid w:val="00B9420F"/>
    <w:rsid w:val="00BA5C02"/>
    <w:rsid w:val="00BB572E"/>
    <w:rsid w:val="00BD0A31"/>
    <w:rsid w:val="00BF7347"/>
    <w:rsid w:val="00C001EA"/>
    <w:rsid w:val="00C018D5"/>
    <w:rsid w:val="00C1377F"/>
    <w:rsid w:val="00C16839"/>
    <w:rsid w:val="00C2446F"/>
    <w:rsid w:val="00C342AB"/>
    <w:rsid w:val="00C527D5"/>
    <w:rsid w:val="00C5627E"/>
    <w:rsid w:val="00C7412F"/>
    <w:rsid w:val="00CA725D"/>
    <w:rsid w:val="00CB0E2A"/>
    <w:rsid w:val="00CC6D5D"/>
    <w:rsid w:val="00CD2C46"/>
    <w:rsid w:val="00CD3A41"/>
    <w:rsid w:val="00CF6391"/>
    <w:rsid w:val="00D2118C"/>
    <w:rsid w:val="00D31A12"/>
    <w:rsid w:val="00D652C8"/>
    <w:rsid w:val="00D75992"/>
    <w:rsid w:val="00D83221"/>
    <w:rsid w:val="00D845AB"/>
    <w:rsid w:val="00D859FE"/>
    <w:rsid w:val="00D918B1"/>
    <w:rsid w:val="00DC2032"/>
    <w:rsid w:val="00DD214E"/>
    <w:rsid w:val="00DE654B"/>
    <w:rsid w:val="00E3361C"/>
    <w:rsid w:val="00E35BDE"/>
    <w:rsid w:val="00E66907"/>
    <w:rsid w:val="00E72459"/>
    <w:rsid w:val="00E74623"/>
    <w:rsid w:val="00E907DB"/>
    <w:rsid w:val="00EB26D3"/>
    <w:rsid w:val="00EF1900"/>
    <w:rsid w:val="00EF4755"/>
    <w:rsid w:val="00F05F33"/>
    <w:rsid w:val="00F2607C"/>
    <w:rsid w:val="00F30DDB"/>
    <w:rsid w:val="00F37533"/>
    <w:rsid w:val="00F47184"/>
    <w:rsid w:val="00F51216"/>
    <w:rsid w:val="00F72ED6"/>
    <w:rsid w:val="00F76093"/>
    <w:rsid w:val="00FB4F02"/>
    <w:rsid w:val="00FE113E"/>
    <w:rsid w:val="00FF54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C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065E36"/>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rsid w:val="00065E36"/>
    <w:pPr>
      <w:spacing w:before="240" w:after="240"/>
      <w:ind w:left="4320"/>
    </w:pPr>
  </w:style>
  <w:style w:type="paragraph" w:customStyle="1" w:styleId="BWCGreeting">
    <w:name w:val="BWC Greeting"/>
    <w:basedOn w:val="Normal"/>
    <w:next w:val="BWCBodyText"/>
    <w:rsid w:val="00065E36"/>
    <w:pPr>
      <w:spacing w:before="480" w:after="240"/>
    </w:pPr>
  </w:style>
  <w:style w:type="paragraph" w:customStyle="1" w:styleId="BWCInternalInfo">
    <w:name w:val="BWC Internal Info"/>
    <w:basedOn w:val="Normal"/>
    <w:rsid w:val="00065E36"/>
  </w:style>
  <w:style w:type="paragraph" w:styleId="PlainText">
    <w:name w:val="Plain Text"/>
    <w:basedOn w:val="Normal"/>
    <w:rPr>
      <w:rFonts w:ascii="Courier New" w:hAnsi="Courier New" w:cs="Courier New"/>
      <w:sz w:val="20"/>
      <w:szCs w:val="20"/>
    </w:rPr>
  </w:style>
  <w:style w:type="paragraph" w:customStyle="1" w:styleId="BWCXBCInfo">
    <w:name w:val="BWC XBC Info"/>
    <w:basedOn w:val="Normal"/>
    <w:rsid w:val="00065E36"/>
  </w:style>
  <w:style w:type="paragraph" w:customStyle="1" w:styleId="BWCFileInfo">
    <w:name w:val="BWC File Info"/>
    <w:basedOn w:val="Normal"/>
    <w:rsid w:val="00065E36"/>
  </w:style>
  <w:style w:type="character" w:customStyle="1" w:styleId="BWCComment">
    <w:name w:val="BWC Comment"/>
    <w:basedOn w:val="DefaultParagraphFont"/>
    <w:rPr>
      <w:vanish w:val="0"/>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rsid w:val="00065E36"/>
    <w:pPr>
      <w:tabs>
        <w:tab w:val="right" w:pos="8280"/>
      </w:tabs>
      <w:spacing w:after="240"/>
    </w:pPr>
  </w:style>
  <w:style w:type="paragraph" w:customStyle="1" w:styleId="BWCSignature">
    <w:name w:val="BWC Signature"/>
    <w:basedOn w:val="BWCClosing"/>
    <w:next w:val="BWCNormal"/>
    <w:rsid w:val="00065E36"/>
    <w:pPr>
      <w:spacing w:before="0" w:after="480"/>
    </w:pPr>
  </w:style>
  <w:style w:type="paragraph" w:styleId="FootnoteText">
    <w:name w:val="footnote text"/>
    <w:basedOn w:val="Normal"/>
    <w:semiHidden/>
    <w:rPr>
      <w:sz w:val="22"/>
      <w:szCs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BWCEmailFax">
    <w:name w:val="BWC Email/Fax"/>
    <w:basedOn w:val="Normal"/>
    <w:next w:val="BWCNormal"/>
    <w:pPr>
      <w:tabs>
        <w:tab w:val="left" w:pos="2074"/>
      </w:tabs>
      <w:spacing w:after="240"/>
    </w:pPr>
  </w:style>
  <w:style w:type="paragraph" w:customStyle="1" w:styleId="BWCZLogStamp">
    <w:name w:val="BWC ZLogStamp"/>
    <w:basedOn w:val="Normal"/>
    <w:rsid w:val="00065E36"/>
  </w:style>
  <w:style w:type="paragraph" w:customStyle="1" w:styleId="ZH1">
    <w:name w:val="ZH1"/>
    <w:rsid w:val="00FF54B1"/>
    <w:pPr>
      <w:jc w:val="center"/>
    </w:pPr>
    <w:rPr>
      <w:rFonts w:ascii="Book Antiqua" w:hAnsi="Book Antiqua"/>
      <w:color w:val="000000"/>
      <w:sz w:val="22"/>
      <w:szCs w:val="22"/>
      <w:lang w:val="en-GB"/>
    </w:rPr>
  </w:style>
  <w:style w:type="paragraph" w:customStyle="1" w:styleId="ZH2">
    <w:name w:val="ZH2"/>
    <w:rsid w:val="00FF54B1"/>
    <w:pPr>
      <w:spacing w:before="80"/>
      <w:jc w:val="center"/>
    </w:pPr>
    <w:rPr>
      <w:rFonts w:ascii="Book Antiqua" w:hAnsi="Book Antiqua"/>
      <w:caps/>
      <w:color w:val="000000"/>
      <w:spacing w:val="10"/>
      <w:sz w:val="18"/>
      <w:szCs w:val="18"/>
      <w:lang w:val="en-GB"/>
    </w:rPr>
  </w:style>
  <w:style w:type="paragraph" w:customStyle="1" w:styleId="ZF1">
    <w:name w:val="ZF1"/>
    <w:rsid w:val="00FF54B1"/>
    <w:pPr>
      <w:jc w:val="center"/>
    </w:pPr>
    <w:rPr>
      <w:rFonts w:ascii="Book Antiqua" w:hAnsi="Book Antiqua"/>
      <w:spacing w:val="8"/>
      <w:sz w:val="18"/>
      <w:szCs w:val="18"/>
      <w:lang w:val="en-GB"/>
    </w:rPr>
  </w:style>
  <w:style w:type="character" w:styleId="Hyperlink">
    <w:name w:val="Hyperlink"/>
    <w:basedOn w:val="DefaultParagraphFont"/>
    <w:unhideWhenUsed/>
    <w:rsid w:val="006B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5925">
      <w:bodyDiv w:val="1"/>
      <w:marLeft w:val="0"/>
      <w:marRight w:val="0"/>
      <w:marTop w:val="0"/>
      <w:marBottom w:val="0"/>
      <w:divBdr>
        <w:top w:val="none" w:sz="0" w:space="0" w:color="auto"/>
        <w:left w:val="none" w:sz="0" w:space="0" w:color="auto"/>
        <w:bottom w:val="none" w:sz="0" w:space="0" w:color="auto"/>
        <w:right w:val="none" w:sz="0" w:space="0" w:color="auto"/>
      </w:divBdr>
    </w:div>
    <w:div w:id="383405405">
      <w:bodyDiv w:val="1"/>
      <w:marLeft w:val="0"/>
      <w:marRight w:val="0"/>
      <w:marTop w:val="0"/>
      <w:marBottom w:val="0"/>
      <w:divBdr>
        <w:top w:val="none" w:sz="0" w:space="0" w:color="auto"/>
        <w:left w:val="none" w:sz="0" w:space="0" w:color="auto"/>
        <w:bottom w:val="none" w:sz="0" w:space="0" w:color="auto"/>
        <w:right w:val="none" w:sz="0" w:space="0" w:color="auto"/>
      </w:divBdr>
    </w:div>
    <w:div w:id="752436409">
      <w:bodyDiv w:val="1"/>
      <w:marLeft w:val="0"/>
      <w:marRight w:val="0"/>
      <w:marTop w:val="0"/>
      <w:marBottom w:val="0"/>
      <w:divBdr>
        <w:top w:val="none" w:sz="0" w:space="0" w:color="auto"/>
        <w:left w:val="none" w:sz="0" w:space="0" w:color="auto"/>
        <w:bottom w:val="none" w:sz="0" w:space="0" w:color="auto"/>
        <w:right w:val="none" w:sz="0" w:space="0" w:color="auto"/>
      </w:divBdr>
    </w:div>
    <w:div w:id="15792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2025-03-25T15:02:00Z</dcterms:created>
  <dcterms:modified xsi:type="dcterms:W3CDTF">2025-06-18T10:49:00Z</dcterms:modified>
</cp:coreProperties>
</file>